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650" w:rsidRPr="002A3650" w:rsidRDefault="002A3650" w:rsidP="002A3650">
      <w:pPr>
        <w:widowControl/>
        <w:spacing w:line="376" w:lineRule="atLeast"/>
        <w:jc w:val="center"/>
        <w:outlineLvl w:val="0"/>
        <w:rPr>
          <w:rFonts w:ascii="Simsun" w:eastAsia="宋体" w:hAnsi="Simsun" w:cs="宋体"/>
          <w:b/>
          <w:bCs/>
          <w:color w:val="000000"/>
          <w:kern w:val="36"/>
          <w:sz w:val="30"/>
          <w:szCs w:val="30"/>
        </w:rPr>
      </w:pPr>
      <w:r w:rsidRPr="002A3650">
        <w:rPr>
          <w:rFonts w:ascii="Simsun" w:eastAsia="宋体" w:hAnsi="Simsun" w:cs="宋体"/>
          <w:b/>
          <w:bCs/>
          <w:color w:val="000000"/>
          <w:kern w:val="36"/>
          <w:sz w:val="30"/>
        </w:rPr>
        <w:t>邓子基</w:t>
      </w:r>
      <w:r w:rsidRPr="002A3650">
        <w:rPr>
          <w:rFonts w:ascii="Simsun" w:eastAsia="宋体" w:hAnsi="Simsun" w:cs="宋体"/>
          <w:b/>
          <w:bCs/>
          <w:color w:val="000000"/>
          <w:kern w:val="36"/>
          <w:sz w:val="30"/>
        </w:rPr>
        <w:t xml:space="preserve"> </w:t>
      </w:r>
      <w:r w:rsidRPr="002A3650">
        <w:rPr>
          <w:rFonts w:ascii="Simsun" w:eastAsia="宋体" w:hAnsi="Simsun" w:cs="宋体"/>
          <w:b/>
          <w:bCs/>
          <w:color w:val="000000"/>
          <w:kern w:val="36"/>
          <w:sz w:val="30"/>
        </w:rPr>
        <w:t>唐文倩：我国财税改革与</w:t>
      </w:r>
      <w:r w:rsidRPr="002A3650">
        <w:rPr>
          <w:rFonts w:ascii="Simsun" w:eastAsia="宋体" w:hAnsi="Simsun" w:cs="宋体"/>
          <w:b/>
          <w:bCs/>
          <w:color w:val="000000"/>
          <w:kern w:val="36"/>
          <w:sz w:val="30"/>
        </w:rPr>
        <w:t>“</w:t>
      </w:r>
      <w:r w:rsidRPr="002A3650">
        <w:rPr>
          <w:rFonts w:ascii="Simsun" w:eastAsia="宋体" w:hAnsi="Simsun" w:cs="宋体"/>
          <w:b/>
          <w:bCs/>
          <w:color w:val="000000"/>
          <w:kern w:val="36"/>
          <w:sz w:val="30"/>
        </w:rPr>
        <w:t>顶层设计</w:t>
      </w:r>
      <w:r w:rsidRPr="002A3650">
        <w:rPr>
          <w:rFonts w:ascii="Simsun" w:eastAsia="宋体" w:hAnsi="Simsun" w:cs="宋体"/>
          <w:b/>
          <w:bCs/>
          <w:color w:val="000000"/>
          <w:kern w:val="36"/>
          <w:sz w:val="30"/>
        </w:rPr>
        <w:t>”</w:t>
      </w:r>
    </w:p>
    <w:p w:rsidR="00000000" w:rsidRDefault="002A3650" w:rsidP="002A3650">
      <w:pPr>
        <w:jc w:val="center"/>
        <w:rPr>
          <w:rFonts w:ascii="Simsun" w:hAnsi="Simsun" w:hint="eastAsia"/>
          <w:color w:val="666666"/>
          <w:sz w:val="15"/>
          <w:szCs w:val="15"/>
        </w:rPr>
      </w:pPr>
      <w:r>
        <w:rPr>
          <w:rFonts w:ascii="Simsun" w:hAnsi="Simsun"/>
          <w:color w:val="666666"/>
          <w:sz w:val="15"/>
          <w:szCs w:val="15"/>
        </w:rPr>
        <w:t>作者：邓子基</w:t>
      </w:r>
      <w:r>
        <w:rPr>
          <w:rFonts w:ascii="Simsun" w:hAnsi="Simsun"/>
          <w:color w:val="666666"/>
          <w:sz w:val="15"/>
          <w:szCs w:val="15"/>
        </w:rPr>
        <w:t xml:space="preserve"> </w:t>
      </w:r>
      <w:r>
        <w:rPr>
          <w:rFonts w:ascii="Simsun" w:hAnsi="Simsun"/>
          <w:color w:val="666666"/>
          <w:sz w:val="15"/>
          <w:szCs w:val="15"/>
        </w:rPr>
        <w:t>唐文倩</w:t>
      </w:r>
      <w:r>
        <w:rPr>
          <w:rFonts w:ascii="Simsun" w:hAnsi="Simsun"/>
          <w:color w:val="666666"/>
          <w:sz w:val="15"/>
          <w:szCs w:val="15"/>
        </w:rPr>
        <w:t>  </w:t>
      </w:r>
      <w:r>
        <w:rPr>
          <w:rFonts w:ascii="Simsun" w:hAnsi="Simsun"/>
          <w:color w:val="666666"/>
          <w:sz w:val="15"/>
          <w:szCs w:val="15"/>
        </w:rPr>
        <w:t>时间：</w:t>
      </w:r>
      <w:r>
        <w:rPr>
          <w:rFonts w:ascii="Simsun" w:hAnsi="Simsun"/>
          <w:color w:val="666666"/>
          <w:sz w:val="15"/>
          <w:szCs w:val="15"/>
        </w:rPr>
        <w:t>2012-10-26</w:t>
      </w:r>
    </w:p>
    <w:p w:rsidR="002A3650" w:rsidRDefault="002A3650" w:rsidP="002A3650">
      <w:pPr>
        <w:jc w:val="center"/>
        <w:rPr>
          <w:rFonts w:ascii="Simsun" w:hAnsi="Simsun" w:hint="eastAsia"/>
          <w:color w:val="666666"/>
          <w:sz w:val="15"/>
          <w:szCs w:val="15"/>
        </w:rPr>
      </w:pPr>
    </w:p>
    <w:tbl>
      <w:tblPr>
        <w:tblW w:w="5000" w:type="pct"/>
        <w:tblCellSpacing w:w="0" w:type="dxa"/>
        <w:tblCellMar>
          <w:left w:w="0" w:type="dxa"/>
          <w:right w:w="0" w:type="dxa"/>
        </w:tblCellMar>
        <w:tblLook w:val="04A0"/>
      </w:tblPr>
      <w:tblGrid>
        <w:gridCol w:w="10466"/>
      </w:tblGrid>
      <w:tr w:rsidR="002A3650" w:rsidRPr="002A3650" w:rsidTr="002A3650">
        <w:trPr>
          <w:tblCellSpacing w:w="0" w:type="dxa"/>
        </w:trPr>
        <w:tc>
          <w:tcPr>
            <w:tcW w:w="0" w:type="auto"/>
            <w:vAlign w:val="center"/>
            <w:hideMark/>
          </w:tcPr>
          <w:p w:rsidR="002A3650" w:rsidRPr="002A3650" w:rsidRDefault="002A3650" w:rsidP="002A3650">
            <w:pPr>
              <w:widowControl/>
              <w:spacing w:after="480" w:line="48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r w:rsidRPr="002A3650">
              <w:rPr>
                <w:rFonts w:ascii="宋体" w:eastAsia="宋体" w:hAnsi="宋体" w:cs="宋体" w:hint="eastAsia"/>
                <w:color w:val="000000"/>
                <w:kern w:val="0"/>
                <w:sz w:val="18"/>
                <w:szCs w:val="18"/>
              </w:rPr>
              <w:t>十七届五中全会通过的《中共中央关于制定国民经济和社会发展第十二个五年规划的建议》(以下称《建议》)中提出一个全新的概念——“改革顶层设计”。“顶层设计”(top-down design)，出自系统工程学，本意是指自高端开始的总体构想，从最高层开始，站在一个战略制高点，先明确要实现的目标，而后一层一层地去设计。也就是说，“顶层设计”是一项工程整体理念的具体化，是一个系统论的方法。它要求从全局出发，对项目的各个层次、要素进行统筹考虑。把工程学概念引入政府统筹内外政策和制定国家发展战略层面，运用于社会改革领域，就是要全面落实科学发展观，改革全面系统的规划和设计，加强对改革全局的整体战略谋划，从而使我国沿着实现社会主义基本价值的目标迈进。如何将“顶层设计”的理念渗透到经济、社会、民生等领域中的实际行动，落到解决问题的实处，转化为基层动力？这是需要我们深入探究与思考的。</w:t>
            </w:r>
          </w:p>
          <w:p w:rsidR="002A3650" w:rsidRPr="002A3650" w:rsidRDefault="002A3650" w:rsidP="002A3650">
            <w:pPr>
              <w:widowControl/>
              <w:spacing w:after="480" w:line="480" w:lineRule="auto"/>
              <w:rPr>
                <w:rFonts w:ascii="宋体" w:eastAsia="宋体" w:hAnsi="宋体" w:cs="宋体" w:hint="eastAsia"/>
                <w:color w:val="000000"/>
                <w:kern w:val="0"/>
                <w:sz w:val="18"/>
                <w:szCs w:val="18"/>
              </w:rPr>
            </w:pPr>
            <w:r w:rsidRPr="002A3650">
              <w:rPr>
                <w:rFonts w:ascii="宋体" w:eastAsia="宋体" w:hAnsi="宋体" w:cs="宋体" w:hint="eastAsia"/>
                <w:color w:val="000000"/>
                <w:kern w:val="0"/>
                <w:sz w:val="18"/>
                <w:szCs w:val="18"/>
              </w:rPr>
              <w:t xml:space="preserve">　　我国1994年实施的分税制财政管理体制改革，是财税领域制度性建设方面的重大突破。此后省以下分税制财政管理体制改革并没有实质性的进展，省以下政府间财政关系没能理清，这导致“财权上移、事权下移”，基层政府普遍存在着财政困难。“十二五”规划建议有关财税体制改革，提出了逐步健全地方税体系，赋予省级政府适当税政管理权限。要解决目前分税制改革中遇到问题，为地方政府建立长期、稳定的收入来源，就必须通过中央和地方事权与财权(力)相匹配的“顶层设计”。</w:t>
            </w:r>
          </w:p>
          <w:p w:rsidR="002A3650" w:rsidRPr="002A3650" w:rsidRDefault="002A3650" w:rsidP="002A3650">
            <w:pPr>
              <w:widowControl/>
              <w:spacing w:line="480" w:lineRule="auto"/>
              <w:rPr>
                <w:rFonts w:ascii="宋体" w:eastAsia="宋体" w:hAnsi="宋体" w:cs="宋体" w:hint="eastAsia"/>
                <w:color w:val="000000"/>
                <w:kern w:val="0"/>
                <w:sz w:val="18"/>
                <w:szCs w:val="18"/>
              </w:rPr>
            </w:pPr>
            <w:r w:rsidRPr="002A3650">
              <w:rPr>
                <w:rFonts w:ascii="宋体" w:eastAsia="宋体" w:hAnsi="宋体" w:cs="宋体" w:hint="eastAsia"/>
                <w:color w:val="000000"/>
                <w:kern w:val="0"/>
                <w:sz w:val="18"/>
                <w:szCs w:val="18"/>
              </w:rPr>
              <w:t xml:space="preserve">　　</w:t>
            </w:r>
            <w:r w:rsidRPr="002A3650">
              <w:rPr>
                <w:rFonts w:ascii="宋体" w:eastAsia="宋体" w:hAnsi="宋体" w:cs="宋体" w:hint="eastAsia"/>
                <w:b/>
                <w:bCs/>
                <w:color w:val="000000"/>
                <w:kern w:val="0"/>
                <w:sz w:val="18"/>
                <w:szCs w:val="18"/>
              </w:rPr>
              <w:t>一、从“改革顶层设计”的战略高度考量我国政府间财政关系</w:t>
            </w:r>
          </w:p>
          <w:p w:rsidR="002A3650" w:rsidRPr="002A3650" w:rsidRDefault="002A3650" w:rsidP="002A3650">
            <w:pPr>
              <w:widowControl/>
              <w:spacing w:after="480" w:line="480" w:lineRule="auto"/>
              <w:rPr>
                <w:rFonts w:ascii="宋体" w:eastAsia="宋体" w:hAnsi="宋体" w:cs="宋体" w:hint="eastAsia"/>
                <w:color w:val="000000"/>
                <w:kern w:val="0"/>
                <w:sz w:val="18"/>
                <w:szCs w:val="18"/>
              </w:rPr>
            </w:pPr>
            <w:r w:rsidRPr="002A3650">
              <w:rPr>
                <w:rFonts w:ascii="宋体" w:eastAsia="宋体" w:hAnsi="宋体" w:cs="宋体" w:hint="eastAsia"/>
                <w:color w:val="000000"/>
                <w:kern w:val="0"/>
                <w:sz w:val="18"/>
                <w:szCs w:val="18"/>
              </w:rPr>
              <w:t xml:space="preserve">　　当前，我国政府间财政关系的突出问题是财权(力)与事权的不匹配。表现在：一方面，下级政府承担部分上级的事权和支出，同时上级政府也承担着部分下级事权和支出，事权交叉重叠；另一方面，随着分税制财政管理体制改革的推进，财政收入集中上收，支出责任下放，基层政府呈现财政困难。这要从“顶层设计”的高度把握政府间财政关系，以理顺目前混乱的财权事权分配关系。鉴于省以下分税制财政管理体制与我国行政体制的密切关系，首先应该改革我国政府间财政层级，打破现有行政管理层级框架，打好“顶层设计”的基础。我国宪法中虽然规定实行五级政府，但针对目前省以下财政体制的问题，我们可以先通过减少财政上的政府级次，实行三级财政，改革财政管理模式。具体来看：首先，我国实行“省管县”的体制，财政部2009年7月发布了《关于推进省直接管理县财政改革的意见》，到2012年各省(除民族自治地区以外)将全面实行“省管县”财政体制。改革的方向是让市级和县级政府在财政层面成为平等而独立的层级，形成中央、省、县(市)三级财力分配框架。其次，我国要改革乡镇级别政府的设置，将其作为县级政府的派出机构。国家正在不同地区试行的“乡财县管乡用”体制改革，正是为了处理好乡镇级别财权(力)与事权的分配关系。在改革的</w:t>
            </w:r>
            <w:r w:rsidRPr="002A3650">
              <w:rPr>
                <w:rFonts w:ascii="宋体" w:eastAsia="宋体" w:hAnsi="宋体" w:cs="宋体" w:hint="eastAsia"/>
                <w:color w:val="000000"/>
                <w:kern w:val="0"/>
                <w:sz w:val="18"/>
                <w:szCs w:val="18"/>
              </w:rPr>
              <w:lastRenderedPageBreak/>
              <w:t>过程中，县级政府无疑会有改革的动力，而市级及乡级政府可能会缺乏相应的激励。怎样在改革中获得市级与乡级政府的支持，需要我们从“顶层”的视角和战略高度设计。第三，在实行“省管县”改革后，省级政府既要负责市级政府的财政收支，又要管理县级政府的财权分配，部分含有较多县市的省份难免顾此失彼，不符效率原则，有违改革初衷。因此，可考虑适当对某些地区进行行政划分上的调整，如对有些较大省份中经济联系比较紧密、具有相对独立性的地区予以升格，做好“省管县”的配套改革。</w:t>
            </w:r>
          </w:p>
          <w:p w:rsidR="002A3650" w:rsidRPr="002A3650" w:rsidRDefault="002A3650" w:rsidP="002A3650">
            <w:pPr>
              <w:widowControl/>
              <w:spacing w:after="480" w:line="480" w:lineRule="auto"/>
              <w:rPr>
                <w:rFonts w:ascii="宋体" w:eastAsia="宋体" w:hAnsi="宋体" w:cs="宋体" w:hint="eastAsia"/>
                <w:color w:val="000000"/>
                <w:kern w:val="0"/>
                <w:sz w:val="18"/>
                <w:szCs w:val="18"/>
              </w:rPr>
            </w:pPr>
            <w:r w:rsidRPr="002A3650">
              <w:rPr>
                <w:rFonts w:ascii="宋体" w:eastAsia="宋体" w:hAnsi="宋体" w:cs="宋体" w:hint="eastAsia"/>
                <w:color w:val="000000"/>
                <w:kern w:val="0"/>
                <w:sz w:val="18"/>
                <w:szCs w:val="18"/>
              </w:rPr>
              <w:t xml:space="preserve">　　在做好政府层级架构的调整后，我们可先定事权以明确各级政府的支出责任，再依据事权大小及多少来划分财权，确定财力；同时，由于每项事权是由决策权、执行权、监督权与支出责任等要素构成的，因而应针对这些构成要素的属性，在各级政府之间进行合理界定。进行事权划分时，应从国家安全、宏观调控、降低行政成本、提高管理绩效的角度来综合考虑。一般而言，国家安全与宏观调控由中央政府主导，这需要相应的财权(力)配合；为提高管理效率、降低行政成本，各级政府应善于配备与其所负责任相当的资源与权力。依据以上原则，笔者认为：对涉及国家主权、安全、内政、外交、宏观调控、协调地区财力与发展、关系国民经济命脉的国有企业管理、全国性及跨地区的基础设施建设与环境保护等全国性公共产品应由中央政府安排财政支出。在地方政府中，省级财政主要负责省内社会管理、市场的监管、地区性法治建设、省级交通道路、水利枢纽等工程支出，以及社会保障项目和公共卫生等；县级财政的事权范围则包括县内社会治理、公共事业发展等具体支出事宜，主要包括本级行政与司法部门经费、县级支持和安排的基建投资、城市维护建设经费以及支农社保项目，这些是改善公共设施、直接服务群众，面对各种琐碎繁杂的辖区具体事务。此外，一些具有外部性的公共产品的提供，例如基础教育以及环境保护等方面的支出，应该由中央与省县共同负责。</w:t>
            </w:r>
          </w:p>
          <w:p w:rsidR="002A3650" w:rsidRPr="002A3650" w:rsidRDefault="002A3650" w:rsidP="002A3650">
            <w:pPr>
              <w:widowControl/>
              <w:spacing w:after="480" w:line="480" w:lineRule="auto"/>
              <w:rPr>
                <w:rFonts w:ascii="宋体" w:eastAsia="宋体" w:hAnsi="宋体" w:cs="宋体" w:hint="eastAsia"/>
                <w:color w:val="000000"/>
                <w:kern w:val="0"/>
                <w:sz w:val="18"/>
                <w:szCs w:val="18"/>
              </w:rPr>
            </w:pPr>
            <w:r w:rsidRPr="002A3650">
              <w:rPr>
                <w:rFonts w:ascii="宋体" w:eastAsia="宋体" w:hAnsi="宋体" w:cs="宋体" w:hint="eastAsia"/>
                <w:color w:val="000000"/>
                <w:kern w:val="0"/>
                <w:sz w:val="18"/>
                <w:szCs w:val="18"/>
              </w:rPr>
              <w:t xml:space="preserve">　　在每项事权中，决策权一般由高层政府拥有；执行权则应当给予基层政府；监督权更多体现于上级政府和本级人大。决策权所需成本较小，执行则需要大量的资源与之配套，而为使上级政府的监督权具有权威性和可信性，财政收入总体应适当向上集中，以体现社会主义集中力量办大事的优势；同时，在分权和制衡各级政府拥有的决策权、执行权与监督权后，财政支出的大部分应该在地方政府安排；而财政收入与支出之间的差额，势必要通过上级政府对下级政府的转移支付弥补。在各级政府的财权(力)与事权得到匹配、财政收支得到合理安排后，地方政府才能有效执行中央政府的决策，使公共产品的提供达到帕累托改进状态。</w:t>
            </w:r>
          </w:p>
          <w:p w:rsidR="002A3650" w:rsidRPr="002A3650" w:rsidRDefault="002A3650" w:rsidP="002A3650">
            <w:pPr>
              <w:widowControl/>
              <w:spacing w:line="480" w:lineRule="auto"/>
              <w:rPr>
                <w:rFonts w:ascii="宋体" w:eastAsia="宋体" w:hAnsi="宋体" w:cs="宋体" w:hint="eastAsia"/>
                <w:color w:val="000000"/>
                <w:kern w:val="0"/>
                <w:sz w:val="18"/>
                <w:szCs w:val="18"/>
              </w:rPr>
            </w:pPr>
            <w:r w:rsidRPr="002A3650">
              <w:rPr>
                <w:rFonts w:ascii="宋体" w:eastAsia="宋体" w:hAnsi="宋体" w:cs="宋体" w:hint="eastAsia"/>
                <w:color w:val="000000"/>
                <w:kern w:val="0"/>
                <w:sz w:val="18"/>
                <w:szCs w:val="18"/>
              </w:rPr>
              <w:t xml:space="preserve">　　</w:t>
            </w:r>
            <w:r w:rsidRPr="002A3650">
              <w:rPr>
                <w:rFonts w:ascii="宋体" w:eastAsia="宋体" w:hAnsi="宋体" w:cs="宋体" w:hint="eastAsia"/>
                <w:b/>
                <w:bCs/>
                <w:color w:val="000000"/>
                <w:kern w:val="0"/>
                <w:sz w:val="18"/>
                <w:szCs w:val="18"/>
              </w:rPr>
              <w:t>二、用“改革顶层设计”的理念深入探索我国地方税体系的构建</w:t>
            </w:r>
          </w:p>
          <w:p w:rsidR="002A3650" w:rsidRPr="002A3650" w:rsidRDefault="002A3650" w:rsidP="002A3650">
            <w:pPr>
              <w:widowControl/>
              <w:spacing w:after="480" w:line="480" w:lineRule="auto"/>
              <w:rPr>
                <w:rFonts w:ascii="宋体" w:eastAsia="宋体" w:hAnsi="宋体" w:cs="宋体" w:hint="eastAsia"/>
                <w:color w:val="000000"/>
                <w:kern w:val="0"/>
                <w:sz w:val="18"/>
                <w:szCs w:val="18"/>
              </w:rPr>
            </w:pPr>
            <w:r w:rsidRPr="002A3650">
              <w:rPr>
                <w:rFonts w:ascii="宋体" w:eastAsia="宋体" w:hAnsi="宋体" w:cs="宋体" w:hint="eastAsia"/>
                <w:color w:val="000000"/>
                <w:kern w:val="0"/>
                <w:sz w:val="18"/>
                <w:szCs w:val="18"/>
              </w:rPr>
              <w:t xml:space="preserve">　　地方公共财政得以存在的理论基础是财政联邦主义，财政联邦制是处理政府间财政关系的一种规范制度，强调各级政府在财政支出上的独立性和自主性。这个理论的核心就是财政分权，现代财政学之父马斯格雷夫认为，适当财政分权有利于经济效率，并且从效</w:t>
            </w:r>
            <w:r w:rsidRPr="002A3650">
              <w:rPr>
                <w:rFonts w:ascii="宋体" w:eastAsia="宋体" w:hAnsi="宋体" w:cs="宋体" w:hint="eastAsia"/>
                <w:color w:val="000000"/>
                <w:kern w:val="0"/>
                <w:sz w:val="18"/>
                <w:szCs w:val="18"/>
              </w:rPr>
              <w:lastRenderedPageBreak/>
              <w:t>率和受益的角度考虑，提出财政的基本职能分配，并且将税种在各级政府间做粗略划分：中央政府适合征收所得和支出税；地方政府适合征收财产税。综观国外分税制实践，各国十分注意地方税制在整个税制建设中的重要地位。在我国，1994年构建的分税制财政管理体制，虽将税种分为中央税、地方税和共享税，但在实践中，不断增加的共享比例，使一些地方税比重降低。在现行税制中，完全属于地方固定收入的税种有10个，但有共享性质的税种就有7个。如何为地方政府建立长期的稳定的收入来源，亟须进行地方事权与财权(力)匹配的“顶层设计”：在统一税政的前提下，积极培育地方支柱税源。中央集中管理中央税、共享税的立法权、税种开征停征权、税目税率调整权、减免税权等，以维护国家的整体利益。对于一般地方税税种，在中央统一立法的基础上，赋予省级人民政府税目税率调整权、减免税权，并允许省级人民政府制定实施细则或具体实施办法。</w:t>
            </w:r>
          </w:p>
          <w:p w:rsidR="002A3650" w:rsidRPr="002A3650" w:rsidRDefault="002A3650" w:rsidP="002A3650">
            <w:pPr>
              <w:widowControl/>
              <w:spacing w:after="480" w:line="480" w:lineRule="auto"/>
              <w:rPr>
                <w:rFonts w:ascii="宋体" w:eastAsia="宋体" w:hAnsi="宋体" w:cs="宋体" w:hint="eastAsia"/>
                <w:color w:val="000000"/>
                <w:kern w:val="0"/>
                <w:sz w:val="18"/>
                <w:szCs w:val="18"/>
              </w:rPr>
            </w:pPr>
            <w:r w:rsidRPr="002A3650">
              <w:rPr>
                <w:rFonts w:ascii="宋体" w:eastAsia="宋体" w:hAnsi="宋体" w:cs="宋体" w:hint="eastAsia"/>
                <w:color w:val="000000"/>
                <w:kern w:val="0"/>
                <w:sz w:val="18"/>
                <w:szCs w:val="18"/>
              </w:rPr>
              <w:t xml:space="preserve">　　笔者认为，为地方政府择其一两个主体税种培养税源，并辅之以相对合理的辅助税种，乃是“顶层设计”的关键所在。依据税种划分的原则，能作为地方收入主体的税种应该具备如下几个基本特征：一是税基的固定性，如把税基具有流动性的税种作为主体税种，则易导致各地区竞相优惠的低税竞争以及税源的规避性流动；二是税源的稳定性，税基应该较宽，并具有一定的税收弹性，才能拥有充裕的税源；三是征管的便捷性，即地方政府拥有信息方面的优势，应将那些中央不便于征管的税收划归地方，同时，地方税制体系中要尽量减少开征各种零散的、遵从成本高的地方税；四是税收收入和产业结构的调节性，以使地方政府能运用税收杠杆达到一定的调控效果。其他税种应作为辅助税种。要树立“小税种大财源”的理念，加强对地方小税种的管理。根据上述四条原则，并考虑各税种自身的性质特点，我们绘制了地方政府税收划分的基本构架(见表1)。</w:t>
            </w:r>
          </w:p>
          <w:p w:rsidR="002A3650" w:rsidRPr="002A3650" w:rsidRDefault="002A3650" w:rsidP="002A3650">
            <w:pPr>
              <w:widowControl/>
              <w:spacing w:after="480" w:line="480" w:lineRule="auto"/>
              <w:rPr>
                <w:rFonts w:ascii="宋体" w:eastAsia="宋体" w:hAnsi="宋体" w:cs="宋体" w:hint="eastAsia"/>
                <w:color w:val="000000"/>
                <w:kern w:val="0"/>
                <w:sz w:val="18"/>
                <w:szCs w:val="18"/>
              </w:rPr>
            </w:pPr>
            <w:r w:rsidRPr="002A3650">
              <w:rPr>
                <w:rFonts w:ascii="宋体" w:eastAsia="宋体" w:hAnsi="宋体" w:cs="宋体" w:hint="eastAsia"/>
                <w:color w:val="000000"/>
                <w:kern w:val="0"/>
                <w:sz w:val="18"/>
                <w:szCs w:val="18"/>
              </w:rPr>
              <w:t xml:space="preserve">　　从总体看，地方政府的主体税种应包括营业税、房地产税和城市维护建设税等。地方有必要增加新税种，如社会保障税等。具体说来：(1)从省级政府的角度看，当前以营业税为主体税种是切合实际的。当前营业税在地方财政收入中独占鳌头，税基足够宽，税源稳定而有弹性。营业税作为主体税源，必须发展第三产业。这也是我国产业结构转型的路径。随着我国经济发展方式的转变，营业税作为主体税种的地位在短期内还会加强。但随着将来增值税征税范围的扩大和房地产税制的改革，其征税范围将逐步缩小，收入地位也会逐渐减弱。因此，未来省级政府需有“双管齐下”的双主体税源。我们可借鉴国外的销售税或货物税的经验，将现在就消费征收的各项税费加以整合，形成税基独立的流转税，使消费成为真正的税源，而不是生产。这不仅可以避免现行税制下，各地政府争相上马建设项目，不顾环境损害招商引资，更可以刺激和改善消费环境，增强消费对于经济的带动作用，扭转我国经济发展对投资过度依赖的局面。(2)从县级政府的角度看，我们可以借鉴美国等发达国家的做法，以财产税作为主体税种。当前可以把针对房地产征收的房地产税作为培育县级政府的支柱税源。在培育过程中，应先对目前与房地产有关的税费进行整合，把房产税、契税、土地使用税与增</w:t>
            </w:r>
            <w:r w:rsidRPr="002A3650">
              <w:rPr>
                <w:rFonts w:ascii="宋体" w:eastAsia="宋体" w:hAnsi="宋体" w:cs="宋体" w:hint="eastAsia"/>
                <w:color w:val="000000"/>
                <w:kern w:val="0"/>
                <w:sz w:val="18"/>
                <w:szCs w:val="18"/>
              </w:rPr>
              <w:lastRenderedPageBreak/>
              <w:t>值税、土地出让金等调整为统一的房地产税。这样，一方面能改变目前地方政府“土地财政”的混乱形势，使地方政府拥有稳定可靠的税源，缓解财政困难；另一方面，能够统一税制，使地方政府真正称为管理者而非经营者，合理调控房地产市场，促进楼市的健康稳定发展。(3)随着我国经济的发展，一旦时机成熟可考虑开征由地方管理的遗产与赠与税，使其作为房地产税的重要补充。在具体操作上，对个人继承和获赠的各类财产和存款，可参照个人所得税的税率模式，采用超额累进税率，并由各省根据其自身经济发展情况确定。(4)在省与县两级财政均有了自己的主体税种的前提下，还必须利用好其他税种作为主体税种的辅助。有些税种虽不适合作为主体税种，但却是地方财政收入的重要源泉，应该开拓并认真把握，以免税收收入的转移与流失。辅助税种的设计，也应该在一定程度上遵循前面说到的原则，以资源税和环境税为主。其中，资源税作为省级政府的辅助税源，环境税则应承担起县级补充财源的角色。这就要求：首先，我国应着手改革资源税。资源税因其“级差地租”的特性，不适合作为地方性主体税种的选择对象，却是地方财力的重要来源。要调整资源税的管理归属，各地区有权按照实际情况保留资源税，并由中央与地方共享税变为地方税；扩大资源税的征税范围，适当提高税率，将某些资源费改为资源税，将水、土地、森林资源等列入资源税的征管对象。其次，开征环境保护税。主要是基于目前国内环境污染严重的现实，环境保护税由地方税务系统征管，作为地方政府财力的来源，可按照“专款专用”的原则，由环保部门用于当地环境修复与保护工作。环境保护税的开征是转变发展方式的必然，也是使外部性内部化的必要手段。</w:t>
            </w:r>
          </w:p>
          <w:p w:rsidR="002A3650" w:rsidRPr="002A3650" w:rsidRDefault="002A3650" w:rsidP="002A3650">
            <w:pPr>
              <w:widowControl/>
              <w:spacing w:after="480" w:line="480" w:lineRule="auto"/>
              <w:rPr>
                <w:rFonts w:ascii="宋体" w:eastAsia="宋体" w:hAnsi="宋体" w:cs="宋体" w:hint="eastAsia"/>
                <w:color w:val="000000"/>
                <w:kern w:val="0"/>
                <w:sz w:val="18"/>
                <w:szCs w:val="18"/>
              </w:rPr>
            </w:pPr>
            <w:r w:rsidRPr="002A3650">
              <w:rPr>
                <w:rFonts w:ascii="宋体" w:eastAsia="宋体" w:hAnsi="宋体" w:cs="宋体" w:hint="eastAsia"/>
                <w:color w:val="000000"/>
                <w:kern w:val="0"/>
                <w:sz w:val="18"/>
                <w:szCs w:val="18"/>
              </w:rPr>
              <w:t xml:space="preserve">　　另外，“顶层设计”，还需要我们做好相关的配套制度革新。在“十二五”规划建议中，还强调继续推进费改税，这有利于扩大地方税的收入规模。收费一直以来都是地方筹集资金的重要渠道，但收费也带来一些问题，应因势利导，将某些收费改为税，以便让其受到法律的监管。目前相当一部分收费本身就具有税收的性质，例如资源费、排污费等。这种收费和基金都应纳入到税收分配范畴。</w:t>
            </w:r>
          </w:p>
          <w:p w:rsidR="002A3650" w:rsidRPr="002A3650" w:rsidRDefault="002A3650" w:rsidP="002A3650">
            <w:pPr>
              <w:widowControl/>
              <w:spacing w:line="480" w:lineRule="auto"/>
              <w:rPr>
                <w:rFonts w:ascii="宋体" w:eastAsia="宋体" w:hAnsi="宋体" w:cs="宋体" w:hint="eastAsia"/>
                <w:color w:val="000000"/>
                <w:kern w:val="0"/>
                <w:sz w:val="18"/>
                <w:szCs w:val="18"/>
              </w:rPr>
            </w:pPr>
            <w:r w:rsidRPr="002A3650">
              <w:rPr>
                <w:rFonts w:ascii="宋体" w:eastAsia="宋体" w:hAnsi="宋体" w:cs="宋体" w:hint="eastAsia"/>
                <w:color w:val="000000"/>
                <w:kern w:val="0"/>
                <w:sz w:val="18"/>
                <w:szCs w:val="18"/>
              </w:rPr>
              <w:t xml:space="preserve">　　</w:t>
            </w:r>
            <w:r w:rsidRPr="002A3650">
              <w:rPr>
                <w:rFonts w:ascii="宋体" w:eastAsia="宋体" w:hAnsi="宋体" w:cs="宋体" w:hint="eastAsia"/>
                <w:b/>
                <w:bCs/>
                <w:color w:val="000000"/>
                <w:kern w:val="0"/>
                <w:sz w:val="18"/>
                <w:szCs w:val="18"/>
              </w:rPr>
              <w:t>三、以“改革顶层设计”的目标要求改进我国转移支付制度</w:t>
            </w:r>
          </w:p>
          <w:p w:rsidR="002A3650" w:rsidRPr="002A3650" w:rsidRDefault="002A3650" w:rsidP="002A3650">
            <w:pPr>
              <w:widowControl/>
              <w:spacing w:after="480" w:line="480" w:lineRule="auto"/>
              <w:rPr>
                <w:rFonts w:ascii="宋体" w:eastAsia="宋体" w:hAnsi="宋体" w:cs="宋体" w:hint="eastAsia"/>
                <w:color w:val="000000"/>
                <w:kern w:val="0"/>
                <w:sz w:val="18"/>
                <w:szCs w:val="18"/>
              </w:rPr>
            </w:pPr>
            <w:r w:rsidRPr="002A3650">
              <w:rPr>
                <w:rFonts w:ascii="宋体" w:eastAsia="宋体" w:hAnsi="宋体" w:cs="宋体" w:hint="eastAsia"/>
                <w:color w:val="000000"/>
                <w:kern w:val="0"/>
                <w:sz w:val="18"/>
                <w:szCs w:val="18"/>
              </w:rPr>
              <w:t xml:space="preserve">　　前已述及，我国各级政府间财政收入与支出责任之间的不匹配，必然要求上下级政府间做好财政资金的流动，以实现财政支出总需求大致等于财政收入总供给，这种流动机制就是财政转移支付制度。转移支付是对政府间事权、财权(力)划分不完全对等的一种纠偏和矫正。在1994年分税制改革后，我国财政收入的“两个比重”得以提升，使中央掌握的公共资源越来越集中；而地方也效仿中央做法。在此种情况下，财政转移支付为基层政府的活动提供了血液，发挥了巨大的作用。但随着时间的推移，目前转移支付制度的各种问题也逐步显现。</w:t>
            </w:r>
          </w:p>
          <w:p w:rsidR="002A3650" w:rsidRPr="002A3650" w:rsidRDefault="002A3650" w:rsidP="002A3650">
            <w:pPr>
              <w:widowControl/>
              <w:spacing w:after="480" w:line="480" w:lineRule="auto"/>
              <w:rPr>
                <w:rFonts w:ascii="宋体" w:eastAsia="宋体" w:hAnsi="宋体" w:cs="宋体" w:hint="eastAsia"/>
                <w:color w:val="000000"/>
                <w:kern w:val="0"/>
                <w:sz w:val="18"/>
                <w:szCs w:val="18"/>
              </w:rPr>
            </w:pPr>
            <w:r w:rsidRPr="002A3650">
              <w:rPr>
                <w:rFonts w:ascii="宋体" w:eastAsia="宋体" w:hAnsi="宋体" w:cs="宋体" w:hint="eastAsia"/>
                <w:color w:val="000000"/>
                <w:kern w:val="0"/>
                <w:sz w:val="18"/>
                <w:szCs w:val="18"/>
              </w:rPr>
              <w:lastRenderedPageBreak/>
              <w:t xml:space="preserve">　　(一)目前转移支付制度中存在的问题。</w:t>
            </w:r>
          </w:p>
          <w:p w:rsidR="002A3650" w:rsidRPr="002A3650" w:rsidRDefault="002A3650" w:rsidP="002A3650">
            <w:pPr>
              <w:widowControl/>
              <w:spacing w:after="480" w:line="480" w:lineRule="auto"/>
              <w:rPr>
                <w:rFonts w:ascii="宋体" w:eastAsia="宋体" w:hAnsi="宋体" w:cs="宋体" w:hint="eastAsia"/>
                <w:color w:val="000000"/>
                <w:kern w:val="0"/>
                <w:sz w:val="18"/>
                <w:szCs w:val="18"/>
              </w:rPr>
            </w:pPr>
            <w:r w:rsidRPr="002A3650">
              <w:rPr>
                <w:rFonts w:ascii="宋体" w:eastAsia="宋体" w:hAnsi="宋体" w:cs="宋体" w:hint="eastAsia"/>
                <w:color w:val="000000"/>
                <w:kern w:val="0"/>
                <w:sz w:val="18"/>
                <w:szCs w:val="18"/>
              </w:rPr>
              <w:t xml:space="preserve">　　1.难以确定转移支付规模，总体力度不足。</w:t>
            </w:r>
          </w:p>
          <w:p w:rsidR="002A3650" w:rsidRPr="002A3650" w:rsidRDefault="002A3650" w:rsidP="002A3650">
            <w:pPr>
              <w:widowControl/>
              <w:spacing w:after="480" w:line="480" w:lineRule="auto"/>
              <w:rPr>
                <w:rFonts w:ascii="宋体" w:eastAsia="宋体" w:hAnsi="宋体" w:cs="宋体" w:hint="eastAsia"/>
                <w:color w:val="000000"/>
                <w:kern w:val="0"/>
                <w:sz w:val="18"/>
                <w:szCs w:val="18"/>
              </w:rPr>
            </w:pPr>
            <w:r w:rsidRPr="002A3650">
              <w:rPr>
                <w:rFonts w:ascii="宋体" w:eastAsia="宋体" w:hAnsi="宋体" w:cs="宋体" w:hint="eastAsia"/>
                <w:color w:val="000000"/>
                <w:kern w:val="0"/>
                <w:sz w:val="18"/>
                <w:szCs w:val="18"/>
              </w:rPr>
              <w:t xml:space="preserve">　　在我国目前各级财政间的转移支付中，普遍存在着“讨价还价”方式。转移支付的规模是中央政府和各级地方政府间博弈的结果，中央和地方政府的目标往往存在偏异，因而支付额度与实际所需经常不相一致。当前普遍存在的基层政府财政困难，说明转移支付力度总体而言是不足的。这与我国转移支付长期实行的“基数法”计算是分不开的。在“基数法”下，转移支付照顾基数大的东部地区，而广大中西部地区则只能得到较少的转移支付。当前我国在某些转移支付项目上已经采用“因素法”，但仍有一些不够科学合理之处，有待进一步完善。</w:t>
            </w:r>
          </w:p>
          <w:p w:rsidR="002A3650" w:rsidRPr="002A3650" w:rsidRDefault="002A3650" w:rsidP="002A3650">
            <w:pPr>
              <w:widowControl/>
              <w:spacing w:after="480" w:line="480" w:lineRule="auto"/>
              <w:rPr>
                <w:rFonts w:ascii="宋体" w:eastAsia="宋体" w:hAnsi="宋体" w:cs="宋体" w:hint="eastAsia"/>
                <w:color w:val="000000"/>
                <w:kern w:val="0"/>
                <w:sz w:val="18"/>
                <w:szCs w:val="18"/>
              </w:rPr>
            </w:pPr>
            <w:r w:rsidRPr="002A3650">
              <w:rPr>
                <w:rFonts w:ascii="宋体" w:eastAsia="宋体" w:hAnsi="宋体" w:cs="宋体" w:hint="eastAsia"/>
                <w:color w:val="000000"/>
                <w:kern w:val="0"/>
                <w:sz w:val="18"/>
                <w:szCs w:val="18"/>
              </w:rPr>
              <w:t xml:space="preserve">　　2.财政转移支付内部结构不尽合理。</w:t>
            </w:r>
          </w:p>
          <w:p w:rsidR="002A3650" w:rsidRPr="002A3650" w:rsidRDefault="002A3650" w:rsidP="002A3650">
            <w:pPr>
              <w:widowControl/>
              <w:spacing w:after="480" w:line="480" w:lineRule="auto"/>
              <w:rPr>
                <w:rFonts w:ascii="宋体" w:eastAsia="宋体" w:hAnsi="宋体" w:cs="宋体" w:hint="eastAsia"/>
                <w:color w:val="000000"/>
                <w:kern w:val="0"/>
                <w:sz w:val="18"/>
                <w:szCs w:val="18"/>
              </w:rPr>
            </w:pPr>
            <w:r w:rsidRPr="002A3650">
              <w:rPr>
                <w:rFonts w:ascii="宋体" w:eastAsia="宋体" w:hAnsi="宋体" w:cs="宋体" w:hint="eastAsia"/>
                <w:color w:val="000000"/>
                <w:kern w:val="0"/>
                <w:sz w:val="18"/>
                <w:szCs w:val="18"/>
              </w:rPr>
              <w:t xml:space="preserve">　　如税收返还比重较高，专项转移支付所占比重过大，一般性转移支付比例过小。2010年中央对转移支付预算中，专项转移支付所占全部转移支付比例的52%。较多地采取专项转移的方式，其中固然满足地方的专门需要，也包含了中央防止地方政府挪作他用的意图。但专项转移支付的随意性较大，很大程度上取决于地方政府的“讨价还价”能力，而且支付范围过大容易导致资金使用分散化。专项转移支付只能用于指定项目，并且需要地方财政配套，加大地方财政负担。一般性转移支付是通过测算标准收入与标准支出之间的缺口，再考虑财力因素而确定的。从实现均等化的角度而言，一般性转移支付是更好的选择。</w:t>
            </w:r>
          </w:p>
          <w:p w:rsidR="002A3650" w:rsidRPr="002A3650" w:rsidRDefault="002A3650" w:rsidP="002A3650">
            <w:pPr>
              <w:widowControl/>
              <w:spacing w:after="480" w:line="480" w:lineRule="auto"/>
              <w:rPr>
                <w:rFonts w:ascii="宋体" w:eastAsia="宋体" w:hAnsi="宋体" w:cs="宋体" w:hint="eastAsia"/>
                <w:color w:val="000000"/>
                <w:kern w:val="0"/>
                <w:sz w:val="18"/>
                <w:szCs w:val="18"/>
              </w:rPr>
            </w:pPr>
            <w:r w:rsidRPr="002A3650">
              <w:rPr>
                <w:rFonts w:ascii="宋体" w:eastAsia="宋体" w:hAnsi="宋体" w:cs="宋体" w:hint="eastAsia"/>
                <w:color w:val="000000"/>
                <w:kern w:val="0"/>
                <w:sz w:val="18"/>
                <w:szCs w:val="18"/>
              </w:rPr>
              <w:t xml:space="preserve">　　3.财政转移支付分配结构不合理。</w:t>
            </w:r>
          </w:p>
          <w:p w:rsidR="002A3650" w:rsidRPr="002A3650" w:rsidRDefault="002A3650" w:rsidP="002A3650">
            <w:pPr>
              <w:widowControl/>
              <w:spacing w:after="480" w:line="480" w:lineRule="auto"/>
              <w:rPr>
                <w:rFonts w:ascii="宋体" w:eastAsia="宋体" w:hAnsi="宋体" w:cs="宋体" w:hint="eastAsia"/>
                <w:color w:val="000000"/>
                <w:kern w:val="0"/>
                <w:sz w:val="18"/>
                <w:szCs w:val="18"/>
              </w:rPr>
            </w:pPr>
            <w:r w:rsidRPr="002A3650">
              <w:rPr>
                <w:rFonts w:ascii="宋体" w:eastAsia="宋体" w:hAnsi="宋体" w:cs="宋体" w:hint="eastAsia"/>
                <w:color w:val="000000"/>
                <w:kern w:val="0"/>
                <w:sz w:val="18"/>
                <w:szCs w:val="18"/>
              </w:rPr>
              <w:t xml:space="preserve">　　从纵向看，市级政府人均财政转移支付数高，而县市级比重少；从横向看，东部地区转移支付比重大，财政困难的西部地区比重小。一般而言，在市场机制的作用下，各种税源容易流向具有集聚作用的东部地区和城市地区，因而使发达地区自我供给能力较强。当前的转移支付体制使地区发展差距加大，基层政府无法有效履行职能。此外，对于具有区域性外部效应的项目，财政转移支付无法进行及时有效的保障，地方政府则可能推诿扯皮，导致跨省公共产品的供给不到位。</w:t>
            </w:r>
          </w:p>
          <w:p w:rsidR="002A3650" w:rsidRPr="002A3650" w:rsidRDefault="002A3650" w:rsidP="002A3650">
            <w:pPr>
              <w:widowControl/>
              <w:spacing w:after="480" w:line="480" w:lineRule="auto"/>
              <w:rPr>
                <w:rFonts w:ascii="宋体" w:eastAsia="宋体" w:hAnsi="宋体" w:cs="宋体" w:hint="eastAsia"/>
                <w:color w:val="000000"/>
                <w:kern w:val="0"/>
                <w:sz w:val="18"/>
                <w:szCs w:val="18"/>
              </w:rPr>
            </w:pPr>
            <w:r w:rsidRPr="002A3650">
              <w:rPr>
                <w:rFonts w:ascii="宋体" w:eastAsia="宋体" w:hAnsi="宋体" w:cs="宋体" w:hint="eastAsia"/>
                <w:color w:val="000000"/>
                <w:kern w:val="0"/>
                <w:sz w:val="18"/>
                <w:szCs w:val="18"/>
              </w:rPr>
              <w:lastRenderedPageBreak/>
              <w:t xml:space="preserve">　　4.财政转移支付缺乏监督机制。</w:t>
            </w:r>
          </w:p>
          <w:p w:rsidR="002A3650" w:rsidRPr="002A3650" w:rsidRDefault="002A3650" w:rsidP="002A3650">
            <w:pPr>
              <w:widowControl/>
              <w:spacing w:after="480" w:line="480" w:lineRule="auto"/>
              <w:rPr>
                <w:rFonts w:ascii="宋体" w:eastAsia="宋体" w:hAnsi="宋体" w:cs="宋体" w:hint="eastAsia"/>
                <w:color w:val="000000"/>
                <w:kern w:val="0"/>
                <w:sz w:val="18"/>
                <w:szCs w:val="18"/>
              </w:rPr>
            </w:pPr>
            <w:r w:rsidRPr="002A3650">
              <w:rPr>
                <w:rFonts w:ascii="宋体" w:eastAsia="宋体" w:hAnsi="宋体" w:cs="宋体" w:hint="eastAsia"/>
                <w:color w:val="000000"/>
                <w:kern w:val="0"/>
                <w:sz w:val="18"/>
                <w:szCs w:val="18"/>
              </w:rPr>
              <w:t xml:space="preserve">　　我国现行财政转移支付制度的立法层次较低，且我国没有专门机构对转移支付进行统一安排和管理。1995年财政部制订了《过渡期财政转移支付办法》，到2002年改为《一般性财政转移支付办法》。我国现行的财政转移支付制度依据的主要是政府规章，并没有专门的或者相关的法律，客观上降低了转移支付制度决策和运行的民主性和规范性。不仅如此，转移支付资金的执行缺乏人民群众的直接监督，人大和审计部门对转移支付也缺乏有效的监督、审计和绩效评价机制。</w:t>
            </w:r>
          </w:p>
          <w:p w:rsidR="002A3650" w:rsidRPr="002A3650" w:rsidRDefault="002A3650" w:rsidP="002A3650">
            <w:pPr>
              <w:widowControl/>
              <w:spacing w:after="480" w:line="480" w:lineRule="auto"/>
              <w:rPr>
                <w:rFonts w:ascii="宋体" w:eastAsia="宋体" w:hAnsi="宋体" w:cs="宋体" w:hint="eastAsia"/>
                <w:color w:val="000000"/>
                <w:kern w:val="0"/>
                <w:sz w:val="18"/>
                <w:szCs w:val="18"/>
              </w:rPr>
            </w:pPr>
            <w:r w:rsidRPr="002A3650">
              <w:rPr>
                <w:rFonts w:ascii="宋体" w:eastAsia="宋体" w:hAnsi="宋体" w:cs="宋体" w:hint="eastAsia"/>
                <w:color w:val="000000"/>
                <w:kern w:val="0"/>
                <w:sz w:val="18"/>
                <w:szCs w:val="18"/>
              </w:rPr>
              <w:t xml:space="preserve">　　(二)深化转移支付制度改革的措施。</w:t>
            </w:r>
          </w:p>
          <w:p w:rsidR="002A3650" w:rsidRPr="002A3650" w:rsidRDefault="002A3650" w:rsidP="002A3650">
            <w:pPr>
              <w:widowControl/>
              <w:spacing w:after="480" w:line="480" w:lineRule="auto"/>
              <w:rPr>
                <w:rFonts w:ascii="宋体" w:eastAsia="宋体" w:hAnsi="宋体" w:cs="宋体" w:hint="eastAsia"/>
                <w:color w:val="000000"/>
                <w:kern w:val="0"/>
                <w:sz w:val="18"/>
                <w:szCs w:val="18"/>
              </w:rPr>
            </w:pPr>
            <w:r w:rsidRPr="002A3650">
              <w:rPr>
                <w:rFonts w:ascii="宋体" w:eastAsia="宋体" w:hAnsi="宋体" w:cs="宋体" w:hint="eastAsia"/>
                <w:color w:val="000000"/>
                <w:kern w:val="0"/>
                <w:sz w:val="18"/>
                <w:szCs w:val="18"/>
              </w:rPr>
              <w:t xml:space="preserve">　　“十二五”规划中提出，“增加一般性转移支付规模和比例，加强县级政府提供基本公共服务财力保障”的建议。综合考虑以上情况，笔者认为，深化改革我国财政转移支付制度，应从以下方面入手。</w:t>
            </w:r>
          </w:p>
          <w:p w:rsidR="002A3650" w:rsidRPr="002A3650" w:rsidRDefault="002A3650" w:rsidP="002A3650">
            <w:pPr>
              <w:widowControl/>
              <w:spacing w:after="480" w:line="480" w:lineRule="auto"/>
              <w:rPr>
                <w:rFonts w:ascii="宋体" w:eastAsia="宋体" w:hAnsi="宋体" w:cs="宋体" w:hint="eastAsia"/>
                <w:color w:val="000000"/>
                <w:kern w:val="0"/>
                <w:sz w:val="18"/>
                <w:szCs w:val="18"/>
              </w:rPr>
            </w:pPr>
            <w:r w:rsidRPr="002A3650">
              <w:rPr>
                <w:rFonts w:ascii="宋体" w:eastAsia="宋体" w:hAnsi="宋体" w:cs="宋体" w:hint="eastAsia"/>
                <w:color w:val="000000"/>
                <w:kern w:val="0"/>
                <w:sz w:val="18"/>
                <w:szCs w:val="18"/>
              </w:rPr>
              <w:t xml:space="preserve">　　1.改革原体制“残余”，推广并完善“因素法”的计算方法。</w:t>
            </w:r>
          </w:p>
          <w:p w:rsidR="002A3650" w:rsidRPr="002A3650" w:rsidRDefault="002A3650" w:rsidP="002A3650">
            <w:pPr>
              <w:widowControl/>
              <w:spacing w:after="480" w:line="480" w:lineRule="auto"/>
              <w:rPr>
                <w:rFonts w:ascii="宋体" w:eastAsia="宋体" w:hAnsi="宋体" w:cs="宋体" w:hint="eastAsia"/>
                <w:color w:val="000000"/>
                <w:kern w:val="0"/>
                <w:sz w:val="18"/>
                <w:szCs w:val="18"/>
              </w:rPr>
            </w:pPr>
            <w:r w:rsidRPr="002A3650">
              <w:rPr>
                <w:rFonts w:ascii="宋体" w:eastAsia="宋体" w:hAnsi="宋体" w:cs="宋体" w:hint="eastAsia"/>
                <w:color w:val="000000"/>
                <w:kern w:val="0"/>
                <w:sz w:val="18"/>
                <w:szCs w:val="18"/>
              </w:rPr>
              <w:t xml:space="preserve">　　在分税制改革中“残余”的原体制的解取、税收返还和原体制补贴，目前给财税制度的进一步改善造成了一定障碍，应予取消，应严格按照转移支付制度的规定进行。鉴于“基数法”的各种弊端，以及“因素法”的不完美，我们在推广“因素法”的计算方法时，也应结合实际情况合理改进。可以借鉴国外的均等化公式，以人均标准财力为依据，而非按财政供养人口计算。凡是人均财力水平低于标准财力的省份，中央对其给予财政补贴。同时，要结合各地方各层级政府的实际情况，考虑其提供基本公共服务的成本差异以及增收的努力程度等因素。还要建立一种上下级财政体制之间的信息反馈和互动机制，上级财政部门可提前告知下级财政部门转移支付指标，而下级财政部门也需要按照国家政策要求和地方实际，提前向上级财政部门编报符合地方经济社会发展方向的项目，实现上级政策与地方特色的结合，使转移支付的额度符合地方需求。</w:t>
            </w:r>
          </w:p>
          <w:p w:rsidR="002A3650" w:rsidRPr="002A3650" w:rsidRDefault="002A3650" w:rsidP="002A3650">
            <w:pPr>
              <w:widowControl/>
              <w:spacing w:after="480" w:line="480" w:lineRule="auto"/>
              <w:rPr>
                <w:rFonts w:ascii="宋体" w:eastAsia="宋体" w:hAnsi="宋体" w:cs="宋体" w:hint="eastAsia"/>
                <w:color w:val="000000"/>
                <w:kern w:val="0"/>
                <w:sz w:val="18"/>
                <w:szCs w:val="18"/>
              </w:rPr>
            </w:pPr>
            <w:r w:rsidRPr="002A3650">
              <w:rPr>
                <w:rFonts w:ascii="宋体" w:eastAsia="宋体" w:hAnsi="宋体" w:cs="宋体" w:hint="eastAsia"/>
                <w:color w:val="000000"/>
                <w:kern w:val="0"/>
                <w:sz w:val="18"/>
                <w:szCs w:val="18"/>
              </w:rPr>
              <w:t xml:space="preserve">　　2.调整政府间转移支付的内部结构。</w:t>
            </w:r>
          </w:p>
          <w:p w:rsidR="002A3650" w:rsidRPr="002A3650" w:rsidRDefault="002A3650" w:rsidP="002A3650">
            <w:pPr>
              <w:widowControl/>
              <w:spacing w:after="480" w:line="480" w:lineRule="auto"/>
              <w:rPr>
                <w:rFonts w:ascii="宋体" w:eastAsia="宋体" w:hAnsi="宋体" w:cs="宋体" w:hint="eastAsia"/>
                <w:color w:val="000000"/>
                <w:kern w:val="0"/>
                <w:sz w:val="18"/>
                <w:szCs w:val="18"/>
              </w:rPr>
            </w:pPr>
            <w:r w:rsidRPr="002A3650">
              <w:rPr>
                <w:rFonts w:ascii="宋体" w:eastAsia="宋体" w:hAnsi="宋体" w:cs="宋体" w:hint="eastAsia"/>
                <w:color w:val="000000"/>
                <w:kern w:val="0"/>
                <w:sz w:val="18"/>
                <w:szCs w:val="18"/>
              </w:rPr>
              <w:t xml:space="preserve">　　由于一般性转移支付制度存在“负激励”效应，在测算标准收入时应融入更多的激励，考虑更多的财政努力因素。专项转移支付制度目标明确，在未来转移支付中举足轻重，应尽力做到决策公开透明，并在一定范围内引入竞争机制。改革内部结构的方向是缩小</w:t>
            </w:r>
            <w:r w:rsidRPr="002A3650">
              <w:rPr>
                <w:rFonts w:ascii="宋体" w:eastAsia="宋体" w:hAnsi="宋体" w:cs="宋体" w:hint="eastAsia"/>
                <w:color w:val="000000"/>
                <w:kern w:val="0"/>
                <w:sz w:val="18"/>
                <w:szCs w:val="18"/>
              </w:rPr>
              <w:lastRenderedPageBreak/>
              <w:t>经常性专项补助所占比例，逐步提高一般财力补助的比重。要将专项补助的覆盖范围缩小到基础教育、社会保障、环境保护、社会治安、基本交通等项目上，腾出空间留给更具规范性的一般性补助，余下留给临时性自然灾害补助。</w:t>
            </w:r>
          </w:p>
          <w:p w:rsidR="002A3650" w:rsidRPr="002A3650" w:rsidRDefault="002A3650" w:rsidP="002A3650">
            <w:pPr>
              <w:widowControl/>
              <w:spacing w:after="480" w:line="480" w:lineRule="auto"/>
              <w:rPr>
                <w:rFonts w:ascii="宋体" w:eastAsia="宋体" w:hAnsi="宋体" w:cs="宋体" w:hint="eastAsia"/>
                <w:color w:val="000000"/>
                <w:kern w:val="0"/>
                <w:sz w:val="18"/>
                <w:szCs w:val="18"/>
              </w:rPr>
            </w:pPr>
            <w:r w:rsidRPr="002A3650">
              <w:rPr>
                <w:rFonts w:ascii="宋体" w:eastAsia="宋体" w:hAnsi="宋体" w:cs="宋体" w:hint="eastAsia"/>
                <w:color w:val="000000"/>
                <w:kern w:val="0"/>
                <w:sz w:val="18"/>
                <w:szCs w:val="18"/>
              </w:rPr>
              <w:t xml:space="preserve">　　3.优化转移支付资金分配格局。</w:t>
            </w:r>
          </w:p>
          <w:p w:rsidR="002A3650" w:rsidRPr="002A3650" w:rsidRDefault="002A3650" w:rsidP="002A3650">
            <w:pPr>
              <w:widowControl/>
              <w:spacing w:after="480" w:line="480" w:lineRule="auto"/>
              <w:rPr>
                <w:rFonts w:ascii="宋体" w:eastAsia="宋体" w:hAnsi="宋体" w:cs="宋体" w:hint="eastAsia"/>
                <w:color w:val="000000"/>
                <w:kern w:val="0"/>
                <w:sz w:val="18"/>
                <w:szCs w:val="18"/>
              </w:rPr>
            </w:pPr>
            <w:r w:rsidRPr="002A3650">
              <w:rPr>
                <w:rFonts w:ascii="宋体" w:eastAsia="宋体" w:hAnsi="宋体" w:cs="宋体" w:hint="eastAsia"/>
                <w:color w:val="000000"/>
                <w:kern w:val="0"/>
                <w:sz w:val="18"/>
                <w:szCs w:val="18"/>
              </w:rPr>
              <w:t xml:space="preserve">　　要适当降低市级人均财政转移支付数，提高县级人均财政转移支付水平。防止市级政府截留拨付给县级政府的转移支付资金，使转移支付真正起到促进均等化的功效。要增加对人均支出水平低、发展后劲不足的欠发达地区的转移支付力度，缓解区域发展不平衡现状。同时，针对传统的省级行政区划的划分未能充分考虑到人口流动性的变化以及基本公共服务的外部性问题，应更加注意跨区域公共产品供给。可以通过建立区域性组织，将外部性予以内部化，并配套相应的转移支付财力，确保具有外部性的基本公共服务的有效供给。</w:t>
            </w:r>
          </w:p>
          <w:p w:rsidR="002A3650" w:rsidRPr="002A3650" w:rsidRDefault="002A3650" w:rsidP="002A3650">
            <w:pPr>
              <w:widowControl/>
              <w:spacing w:after="480" w:line="480" w:lineRule="auto"/>
              <w:rPr>
                <w:rFonts w:ascii="宋体" w:eastAsia="宋体" w:hAnsi="宋体" w:cs="宋体" w:hint="eastAsia"/>
                <w:color w:val="000000"/>
                <w:kern w:val="0"/>
                <w:sz w:val="18"/>
                <w:szCs w:val="18"/>
              </w:rPr>
            </w:pPr>
            <w:r w:rsidRPr="002A3650">
              <w:rPr>
                <w:rFonts w:ascii="宋体" w:eastAsia="宋体" w:hAnsi="宋体" w:cs="宋体" w:hint="eastAsia"/>
                <w:color w:val="000000"/>
                <w:kern w:val="0"/>
                <w:sz w:val="18"/>
                <w:szCs w:val="18"/>
              </w:rPr>
              <w:t xml:space="preserve">　　4.强化政府间转移支付的组织和监督。</w:t>
            </w:r>
          </w:p>
          <w:p w:rsidR="002A3650" w:rsidRPr="002A3650" w:rsidRDefault="002A3650" w:rsidP="002A3650">
            <w:pPr>
              <w:widowControl/>
              <w:spacing w:after="480" w:line="480" w:lineRule="auto"/>
              <w:rPr>
                <w:rFonts w:ascii="宋体" w:eastAsia="宋体" w:hAnsi="宋体" w:cs="宋体" w:hint="eastAsia"/>
                <w:color w:val="000000"/>
                <w:kern w:val="0"/>
                <w:sz w:val="18"/>
                <w:szCs w:val="18"/>
              </w:rPr>
            </w:pPr>
            <w:r w:rsidRPr="002A3650">
              <w:rPr>
                <w:rFonts w:ascii="宋体" w:eastAsia="宋体" w:hAnsi="宋体" w:cs="宋体" w:hint="eastAsia"/>
                <w:color w:val="000000"/>
                <w:kern w:val="0"/>
                <w:sz w:val="18"/>
                <w:szCs w:val="18"/>
              </w:rPr>
              <w:t xml:space="preserve">　　在目前我国财政体制缺乏足够规范的法律基础的情况下，转移支付的操作中缺乏组织和监督。所以，仅仅依靠上级政府的监督是远远不够的，应该制定并完善相关法律、法规。笔者认为，我国应推动财政分权立宪，确认目前财税体制改革的成果，并赋予法律效力。同时，应推进转移支付的法制化进程。对各项转移支付应建立一套标准的申请程序，依法申请，并应要求项目执行者进行反馈。只要上了法律轨道，政府间转移支付才能得到合理的监管。</w:t>
            </w:r>
          </w:p>
          <w:p w:rsidR="002A3650" w:rsidRPr="002A3650" w:rsidRDefault="002A3650" w:rsidP="002A3650">
            <w:pPr>
              <w:widowControl/>
              <w:spacing w:after="480" w:line="480" w:lineRule="auto"/>
              <w:rPr>
                <w:rFonts w:ascii="宋体" w:eastAsia="宋体" w:hAnsi="宋体" w:cs="宋体" w:hint="eastAsia"/>
                <w:color w:val="000000"/>
                <w:kern w:val="0"/>
                <w:sz w:val="18"/>
                <w:szCs w:val="18"/>
              </w:rPr>
            </w:pPr>
            <w:r w:rsidRPr="002A3650">
              <w:rPr>
                <w:rFonts w:ascii="宋体" w:eastAsia="宋体" w:hAnsi="宋体" w:cs="宋体" w:hint="eastAsia"/>
                <w:color w:val="000000"/>
                <w:kern w:val="0"/>
                <w:sz w:val="18"/>
                <w:szCs w:val="18"/>
              </w:rPr>
              <w:t xml:space="preserve">　　【参考文献】</w:t>
            </w:r>
          </w:p>
          <w:p w:rsidR="002A3650" w:rsidRPr="002A3650" w:rsidRDefault="002A3650" w:rsidP="002A3650">
            <w:pPr>
              <w:widowControl/>
              <w:spacing w:after="480" w:line="480" w:lineRule="auto"/>
              <w:rPr>
                <w:rFonts w:ascii="宋体" w:eastAsia="宋体" w:hAnsi="宋体" w:cs="宋体" w:hint="eastAsia"/>
                <w:color w:val="000000"/>
                <w:kern w:val="0"/>
                <w:sz w:val="18"/>
                <w:szCs w:val="18"/>
              </w:rPr>
            </w:pPr>
            <w:r w:rsidRPr="002A3650">
              <w:rPr>
                <w:rFonts w:ascii="宋体" w:eastAsia="宋体" w:hAnsi="宋体" w:cs="宋体" w:hint="eastAsia"/>
                <w:color w:val="000000"/>
                <w:kern w:val="0"/>
                <w:sz w:val="18"/>
                <w:szCs w:val="18"/>
              </w:rPr>
              <w:t xml:space="preserve">　　[1]于长革.中国财政分权的演进与创新[M].北京：经济科学出版社，2010年，第一版。</w:t>
            </w:r>
          </w:p>
          <w:p w:rsidR="002A3650" w:rsidRPr="002A3650" w:rsidRDefault="002A3650" w:rsidP="002A3650">
            <w:pPr>
              <w:widowControl/>
              <w:spacing w:after="480" w:line="480" w:lineRule="auto"/>
              <w:rPr>
                <w:rFonts w:ascii="宋体" w:eastAsia="宋体" w:hAnsi="宋体" w:cs="宋体" w:hint="eastAsia"/>
                <w:color w:val="000000"/>
                <w:kern w:val="0"/>
                <w:sz w:val="18"/>
                <w:szCs w:val="18"/>
              </w:rPr>
            </w:pPr>
            <w:r w:rsidRPr="002A3650">
              <w:rPr>
                <w:rFonts w:ascii="宋体" w:eastAsia="宋体" w:hAnsi="宋体" w:cs="宋体" w:hint="eastAsia"/>
                <w:color w:val="000000"/>
                <w:kern w:val="0"/>
                <w:sz w:val="18"/>
                <w:szCs w:val="18"/>
              </w:rPr>
              <w:t xml:space="preserve">　　[2]呼显岗，常云昆.完善省以下分税制财政体制需要的几项配套改革[J].财政研究，2005(6).</w:t>
            </w:r>
          </w:p>
          <w:p w:rsidR="002A3650" w:rsidRPr="002A3650" w:rsidRDefault="002A3650" w:rsidP="002A3650">
            <w:pPr>
              <w:widowControl/>
              <w:spacing w:after="480" w:line="480" w:lineRule="auto"/>
              <w:rPr>
                <w:rFonts w:ascii="宋体" w:eastAsia="宋体" w:hAnsi="宋体" w:cs="宋体" w:hint="eastAsia"/>
                <w:color w:val="000000"/>
                <w:kern w:val="0"/>
                <w:sz w:val="18"/>
                <w:szCs w:val="18"/>
              </w:rPr>
            </w:pPr>
            <w:r w:rsidRPr="002A3650">
              <w:rPr>
                <w:rFonts w:ascii="宋体" w:eastAsia="宋体" w:hAnsi="宋体" w:cs="宋体" w:hint="eastAsia"/>
                <w:color w:val="000000"/>
                <w:kern w:val="0"/>
                <w:sz w:val="18"/>
                <w:szCs w:val="18"/>
              </w:rPr>
              <w:t xml:space="preserve">　　[3]许国云，郭强，李今是，伍克胜.重构我国地方税主体税种的设想[J].税务研究，2006(3).</w:t>
            </w:r>
          </w:p>
          <w:p w:rsidR="002A3650" w:rsidRPr="002A3650" w:rsidRDefault="002A3650" w:rsidP="002A3650">
            <w:pPr>
              <w:widowControl/>
              <w:spacing w:line="480" w:lineRule="auto"/>
              <w:rPr>
                <w:rFonts w:ascii="宋体" w:eastAsia="宋体" w:hAnsi="宋体" w:cs="宋体"/>
                <w:color w:val="000000"/>
                <w:kern w:val="0"/>
                <w:sz w:val="18"/>
                <w:szCs w:val="18"/>
              </w:rPr>
            </w:pPr>
            <w:r w:rsidRPr="002A3650">
              <w:rPr>
                <w:rFonts w:ascii="宋体" w:eastAsia="宋体" w:hAnsi="宋体" w:cs="宋体" w:hint="eastAsia"/>
                <w:color w:val="000000"/>
                <w:kern w:val="0"/>
                <w:sz w:val="18"/>
                <w:szCs w:val="18"/>
              </w:rPr>
              <w:lastRenderedPageBreak/>
              <w:t xml:space="preserve">　　[4]王德样，袁建国.地方分税制改革与地方税制的完善[J].财经科学，2010(6).</w:t>
            </w:r>
          </w:p>
        </w:tc>
      </w:tr>
      <w:tr w:rsidR="002A3650" w:rsidRPr="002A3650" w:rsidTr="002A3650">
        <w:trPr>
          <w:tblCellSpacing w:w="0" w:type="dxa"/>
        </w:trPr>
        <w:tc>
          <w:tcPr>
            <w:tcW w:w="0" w:type="auto"/>
            <w:vAlign w:val="center"/>
            <w:hideMark/>
          </w:tcPr>
          <w:p w:rsidR="002A3650" w:rsidRPr="002A3650" w:rsidRDefault="002A3650" w:rsidP="002A3650">
            <w:pPr>
              <w:widowControl/>
              <w:jc w:val="left"/>
              <w:rPr>
                <w:rFonts w:ascii="Simsun" w:eastAsia="宋体" w:hAnsi="Simsun" w:cs="宋体"/>
                <w:color w:val="666666"/>
                <w:kern w:val="0"/>
                <w:sz w:val="15"/>
                <w:szCs w:val="15"/>
              </w:rPr>
            </w:pPr>
          </w:p>
        </w:tc>
      </w:tr>
      <w:tr w:rsidR="002A3650" w:rsidRPr="002A3650" w:rsidTr="002A3650">
        <w:trPr>
          <w:tblCellSpacing w:w="0" w:type="dxa"/>
        </w:trPr>
        <w:tc>
          <w:tcPr>
            <w:tcW w:w="0" w:type="auto"/>
            <w:vAlign w:val="center"/>
            <w:hideMark/>
          </w:tcPr>
          <w:p w:rsidR="002A3650" w:rsidRPr="002A3650" w:rsidRDefault="002A3650" w:rsidP="002A3650">
            <w:pPr>
              <w:widowControl/>
              <w:spacing w:after="250" w:line="275" w:lineRule="atLeast"/>
              <w:jc w:val="right"/>
              <w:rPr>
                <w:rFonts w:ascii="Simsun" w:eastAsia="宋体" w:hAnsi="Simsun" w:cs="宋体"/>
                <w:color w:val="666666"/>
                <w:kern w:val="0"/>
                <w:sz w:val="15"/>
                <w:szCs w:val="15"/>
              </w:rPr>
            </w:pPr>
            <w:r w:rsidRPr="002A3650">
              <w:rPr>
                <w:rFonts w:ascii="Simsun" w:eastAsia="宋体" w:hAnsi="Simsun" w:cs="宋体"/>
                <w:color w:val="666666"/>
                <w:kern w:val="0"/>
                <w:sz w:val="15"/>
                <w:szCs w:val="15"/>
              </w:rPr>
              <w:t>来源</w:t>
            </w:r>
            <w:r w:rsidRPr="002A3650">
              <w:rPr>
                <w:rFonts w:ascii="Simsun" w:eastAsia="宋体" w:hAnsi="Simsun" w:cs="宋体"/>
                <w:color w:val="666666"/>
                <w:kern w:val="0"/>
                <w:sz w:val="15"/>
                <w:szCs w:val="15"/>
              </w:rPr>
              <w:t>:</w:t>
            </w:r>
            <w:r w:rsidRPr="002A3650">
              <w:rPr>
                <w:rFonts w:ascii="Simsun" w:eastAsia="宋体" w:hAnsi="Simsun" w:cs="宋体"/>
                <w:color w:val="666666"/>
                <w:kern w:val="0"/>
                <w:sz w:val="15"/>
                <w:szCs w:val="15"/>
              </w:rPr>
              <w:t>中国改革论坛网</w:t>
            </w:r>
          </w:p>
        </w:tc>
      </w:tr>
    </w:tbl>
    <w:p w:rsidR="002A3650" w:rsidRPr="002A3650" w:rsidRDefault="002A3650"/>
    <w:sectPr w:rsidR="002A3650" w:rsidRPr="002A3650" w:rsidSect="002A3650">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85A" w:rsidRDefault="007E385A" w:rsidP="002A3650">
      <w:r>
        <w:separator/>
      </w:r>
    </w:p>
  </w:endnote>
  <w:endnote w:type="continuationSeparator" w:id="1">
    <w:p w:rsidR="007E385A" w:rsidRDefault="007E385A" w:rsidP="002A36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85A" w:rsidRDefault="007E385A" w:rsidP="002A3650">
      <w:r>
        <w:separator/>
      </w:r>
    </w:p>
  </w:footnote>
  <w:footnote w:type="continuationSeparator" w:id="1">
    <w:p w:rsidR="007E385A" w:rsidRDefault="007E385A" w:rsidP="002A36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3650"/>
    <w:rsid w:val="002A3650"/>
    <w:rsid w:val="007E38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A365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36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A3650"/>
    <w:rPr>
      <w:sz w:val="18"/>
      <w:szCs w:val="18"/>
    </w:rPr>
  </w:style>
  <w:style w:type="paragraph" w:styleId="a4">
    <w:name w:val="footer"/>
    <w:basedOn w:val="a"/>
    <w:link w:val="Char0"/>
    <w:uiPriority w:val="99"/>
    <w:semiHidden/>
    <w:unhideWhenUsed/>
    <w:rsid w:val="002A365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A3650"/>
    <w:rPr>
      <w:sz w:val="18"/>
      <w:szCs w:val="18"/>
    </w:rPr>
  </w:style>
  <w:style w:type="character" w:customStyle="1" w:styleId="1Char">
    <w:name w:val="标题 1 Char"/>
    <w:basedOn w:val="a0"/>
    <w:link w:val="1"/>
    <w:uiPriority w:val="9"/>
    <w:rsid w:val="002A3650"/>
    <w:rPr>
      <w:rFonts w:ascii="宋体" w:eastAsia="宋体" w:hAnsi="宋体" w:cs="宋体"/>
      <w:b/>
      <w:bCs/>
      <w:kern w:val="36"/>
      <w:sz w:val="48"/>
      <w:szCs w:val="48"/>
    </w:rPr>
  </w:style>
  <w:style w:type="character" w:styleId="a5">
    <w:name w:val="Strong"/>
    <w:basedOn w:val="a0"/>
    <w:uiPriority w:val="22"/>
    <w:qFormat/>
    <w:rsid w:val="002A3650"/>
    <w:rPr>
      <w:b/>
      <w:bCs/>
    </w:rPr>
  </w:style>
  <w:style w:type="paragraph" w:styleId="a6">
    <w:name w:val="Normal (Web)"/>
    <w:basedOn w:val="a"/>
    <w:uiPriority w:val="99"/>
    <w:unhideWhenUsed/>
    <w:rsid w:val="002A3650"/>
    <w:pPr>
      <w:widowControl/>
      <w:spacing w:before="100" w:beforeAutospacing="1" w:after="100" w:afterAutospacing="1"/>
      <w:jc w:val="left"/>
    </w:pPr>
    <w:rPr>
      <w:rFonts w:ascii="宋体" w:eastAsia="宋体" w:hAnsi="宋体" w:cs="宋体"/>
      <w:kern w:val="0"/>
      <w:sz w:val="24"/>
      <w:szCs w:val="24"/>
    </w:rPr>
  </w:style>
  <w:style w:type="paragraph" w:customStyle="1" w:styleId="info1">
    <w:name w:val="info1"/>
    <w:basedOn w:val="a"/>
    <w:rsid w:val="002A365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057752">
      <w:bodyDiv w:val="1"/>
      <w:marLeft w:val="0"/>
      <w:marRight w:val="0"/>
      <w:marTop w:val="0"/>
      <w:marBottom w:val="0"/>
      <w:divBdr>
        <w:top w:val="none" w:sz="0" w:space="0" w:color="auto"/>
        <w:left w:val="none" w:sz="0" w:space="0" w:color="auto"/>
        <w:bottom w:val="none" w:sz="0" w:space="0" w:color="auto"/>
        <w:right w:val="none" w:sz="0" w:space="0" w:color="auto"/>
      </w:divBdr>
    </w:div>
    <w:div w:id="2144148740">
      <w:bodyDiv w:val="1"/>
      <w:marLeft w:val="0"/>
      <w:marRight w:val="0"/>
      <w:marTop w:val="0"/>
      <w:marBottom w:val="0"/>
      <w:divBdr>
        <w:top w:val="none" w:sz="0" w:space="0" w:color="auto"/>
        <w:left w:val="none" w:sz="0" w:space="0" w:color="auto"/>
        <w:bottom w:val="none" w:sz="0" w:space="0" w:color="auto"/>
        <w:right w:val="none" w:sz="0" w:space="0" w:color="auto"/>
      </w:divBdr>
      <w:divsChild>
        <w:div w:id="1536846085">
          <w:marLeft w:val="0"/>
          <w:marRight w:val="0"/>
          <w:marTop w:val="0"/>
          <w:marBottom w:val="0"/>
          <w:divBdr>
            <w:top w:val="none" w:sz="0" w:space="0" w:color="auto"/>
            <w:left w:val="none" w:sz="0" w:space="0" w:color="auto"/>
            <w:bottom w:val="none" w:sz="0" w:space="0" w:color="auto"/>
            <w:right w:val="none" w:sz="0" w:space="0" w:color="auto"/>
          </w:divBdr>
          <w:divsChild>
            <w:div w:id="159458597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1103</Words>
  <Characters>6292</Characters>
  <Application>Microsoft Office Word</Application>
  <DocSecurity>0</DocSecurity>
  <Lines>52</Lines>
  <Paragraphs>14</Paragraphs>
  <ScaleCrop>false</ScaleCrop>
  <Company/>
  <LinksUpToDate>false</LinksUpToDate>
  <CharactersWithSpaces>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2015-06-12T03:10:00Z</dcterms:created>
  <dcterms:modified xsi:type="dcterms:W3CDTF">2015-06-12T03:11:00Z</dcterms:modified>
</cp:coreProperties>
</file>