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5" w:rsidRPr="00BA68AB" w:rsidRDefault="00EF2FAE" w:rsidP="00E449DA">
      <w:pPr>
        <w:pStyle w:val="Heading1"/>
        <w:spacing w:before="120" w:after="120"/>
        <w:ind w:firstLine="0"/>
        <w:jc w:val="center"/>
        <w:rPr>
          <w:rFonts w:ascii="黑体" w:eastAsia="黑体" w:hAnsi="黑体"/>
          <w:color w:val="auto"/>
          <w:sz w:val="40"/>
          <w:szCs w:val="40"/>
        </w:rPr>
      </w:pPr>
      <w:bookmarkStart w:id="0" w:name="_Toc6110"/>
      <w:bookmarkStart w:id="1" w:name="_Toc403484966"/>
      <w:bookmarkStart w:id="2" w:name="_Toc13187"/>
      <w:r w:rsidRPr="00BA68AB">
        <w:rPr>
          <w:rFonts w:ascii="黑体" w:eastAsia="黑体" w:hAnsi="黑体" w:cs="宋体" w:hint="eastAsia"/>
          <w:color w:val="auto"/>
          <w:sz w:val="40"/>
          <w:szCs w:val="40"/>
        </w:rPr>
        <w:t>中国须在</w:t>
      </w:r>
      <w:r w:rsidR="00F24D40" w:rsidRPr="00BA68AB">
        <w:rPr>
          <w:rFonts w:ascii="黑体" w:eastAsia="黑体" w:hAnsi="黑体" w:cs="宋体" w:hint="eastAsia"/>
          <w:color w:val="auto"/>
          <w:sz w:val="40"/>
          <w:szCs w:val="40"/>
        </w:rPr>
        <w:t>对外投资中承担环境和社会责任</w:t>
      </w:r>
      <w:bookmarkEnd w:id="0"/>
      <w:bookmarkEnd w:id="1"/>
      <w:bookmarkEnd w:id="2"/>
    </w:p>
    <w:p w:rsidR="00EF2FAE" w:rsidRPr="00E449DA" w:rsidRDefault="00A049D0" w:rsidP="00A049D0">
      <w:pPr>
        <w:ind w:firstLine="0"/>
        <w:jc w:val="center"/>
      </w:pPr>
      <w:r w:rsidRPr="00A049D0">
        <w:rPr>
          <w:rFonts w:hint="eastAsia"/>
        </w:rPr>
        <w:t>朱寿庆</w:t>
      </w:r>
      <w:r w:rsidRPr="00BA68AB">
        <w:rPr>
          <w:rStyle w:val="FootnoteReference"/>
          <w:rFonts w:ascii="黑体" w:eastAsia="黑体" w:hAnsi="黑体" w:hint="eastAsia"/>
          <w:color w:val="auto"/>
          <w:sz w:val="40"/>
          <w:szCs w:val="40"/>
        </w:rPr>
        <w:footnoteReference w:id="1"/>
      </w:r>
    </w:p>
    <w:p w:rsidR="00435213" w:rsidRDefault="00435213" w:rsidP="00281FA2">
      <w:pPr>
        <w:jc w:val="center"/>
        <w:rPr>
          <w:rFonts w:ascii="黑体" w:eastAsia="黑体" w:hAnsi="黑体"/>
        </w:rPr>
      </w:pPr>
    </w:p>
    <w:p w:rsidR="00BA68AB" w:rsidRPr="00281FA2" w:rsidRDefault="00EF2FAE" w:rsidP="00281FA2">
      <w:pPr>
        <w:jc w:val="center"/>
        <w:rPr>
          <w:rFonts w:ascii="黑体" w:eastAsia="黑体" w:hAnsi="黑体"/>
        </w:rPr>
      </w:pPr>
      <w:r w:rsidRPr="00281FA2">
        <w:rPr>
          <w:rFonts w:ascii="黑体" w:eastAsia="黑体" w:hAnsi="黑体" w:hint="eastAsia"/>
        </w:rPr>
        <w:t>摘要</w:t>
      </w:r>
    </w:p>
    <w:p w:rsidR="00EF2FAE" w:rsidRPr="00E449DA" w:rsidRDefault="00EF2FAE" w:rsidP="00BA68AB">
      <w:r w:rsidRPr="00E449DA">
        <w:rPr>
          <w:rFonts w:hint="eastAsia"/>
        </w:rPr>
        <w:t>绿色投资的含义和功能有两个方面：促进节能减排和低碳增长；增进社会包容和社会公正。前者要求加大绿色经济领域的投资力度，后者呼唤更好的环境和社会风险管理。鉴于节能减排和包容性增长的时代要求，金砖国家开发银行、亚洲基础设施投资银行和丝绸之路发展基金必须在未来的投融资过程中践行绿色投资。为此，我们提出以下五个方面的建议：（</w:t>
      </w:r>
      <w:r w:rsidRPr="00E449DA">
        <w:rPr>
          <w:rFonts w:hint="eastAsia"/>
        </w:rPr>
        <w:t>1</w:t>
      </w:r>
      <w:r w:rsidRPr="00E449DA">
        <w:rPr>
          <w:rFonts w:hint="eastAsia"/>
        </w:rPr>
        <w:t>）发行绿色债券，引导民间资本为绿色转型服务；（</w:t>
      </w:r>
      <w:r w:rsidRPr="00E449DA">
        <w:rPr>
          <w:rFonts w:hint="eastAsia"/>
        </w:rPr>
        <w:t>2</w:t>
      </w:r>
      <w:r w:rsidRPr="00E449DA">
        <w:rPr>
          <w:rFonts w:hint="eastAsia"/>
        </w:rPr>
        <w:t>）用</w:t>
      </w:r>
      <w:r w:rsidRPr="00E449DA">
        <w:rPr>
          <w:rFonts w:hint="eastAsia"/>
        </w:rPr>
        <w:t>PPP</w:t>
      </w:r>
      <w:r w:rsidRPr="00E449DA">
        <w:rPr>
          <w:rFonts w:hint="eastAsia"/>
        </w:rPr>
        <w:t>等手段引导私营部门资金进入基础设施建设；（</w:t>
      </w:r>
      <w:r w:rsidRPr="00E449DA">
        <w:rPr>
          <w:rFonts w:hint="eastAsia"/>
        </w:rPr>
        <w:t>3</w:t>
      </w:r>
      <w:r w:rsidRPr="00E449DA">
        <w:rPr>
          <w:rFonts w:hint="eastAsia"/>
        </w:rPr>
        <w:t>）建立高度透明的环境披露机制，并明确两行贷款中绿色环保项目占全部贷款的最低比例；（</w:t>
      </w:r>
      <w:r w:rsidRPr="00E449DA">
        <w:rPr>
          <w:rFonts w:hint="eastAsia"/>
        </w:rPr>
        <w:t>4</w:t>
      </w:r>
      <w:r w:rsidRPr="00E449DA">
        <w:rPr>
          <w:rFonts w:hint="eastAsia"/>
        </w:rPr>
        <w:t>）加入赤道原则，建立高标准的项目环境和社会风险评估体系；（</w:t>
      </w:r>
      <w:r w:rsidRPr="00E449DA">
        <w:rPr>
          <w:rFonts w:hint="eastAsia"/>
        </w:rPr>
        <w:t>5</w:t>
      </w:r>
      <w:r w:rsidRPr="00E449DA">
        <w:rPr>
          <w:rFonts w:hint="eastAsia"/>
        </w:rPr>
        <w:t>）在海外投资中必须兼顾产能输出和接受国的可持续发展；（</w:t>
      </w:r>
      <w:r w:rsidRPr="00E449DA">
        <w:rPr>
          <w:rFonts w:hint="eastAsia"/>
        </w:rPr>
        <w:t>6</w:t>
      </w:r>
      <w:r w:rsidRPr="00E449DA">
        <w:rPr>
          <w:rFonts w:hint="eastAsia"/>
        </w:rPr>
        <w:t>）在采购和投资决策过程中充分考虑节能减排的要求。</w:t>
      </w:r>
    </w:p>
    <w:p w:rsidR="00BA68AB" w:rsidRDefault="00EF2FAE" w:rsidP="00BA68AB">
      <w:pPr>
        <w:spacing w:before="120" w:after="120"/>
        <w:ind w:firstLine="0"/>
        <w:rPr>
          <w:b/>
          <w:szCs w:val="32"/>
        </w:rPr>
      </w:pPr>
      <w:r w:rsidRPr="00BA68AB">
        <w:rPr>
          <w:rFonts w:ascii="仿宋" w:hAnsi="仿宋" w:cs="Times New Roman" w:hint="eastAsia"/>
          <w:b/>
          <w:szCs w:val="32"/>
        </w:rPr>
        <w:t>关键词</w:t>
      </w:r>
      <w:r w:rsidRPr="00E449DA">
        <w:rPr>
          <w:rFonts w:ascii="仿宋" w:hAnsi="仿宋" w:cs="Times New Roman" w:hint="eastAsia"/>
          <w:szCs w:val="32"/>
        </w:rPr>
        <w:t>：绿色投资；环境与社会风险管理</w:t>
      </w:r>
      <w:r w:rsidR="00BA68AB">
        <w:rPr>
          <w:b/>
          <w:szCs w:val="32"/>
        </w:rPr>
        <w:br w:type="page"/>
      </w:r>
    </w:p>
    <w:p w:rsidR="00BA68AB" w:rsidRDefault="00EF2FAE" w:rsidP="00BA68AB">
      <w:pPr>
        <w:spacing w:before="120" w:after="120"/>
        <w:ind w:firstLine="0"/>
        <w:jc w:val="center"/>
        <w:rPr>
          <w:szCs w:val="32"/>
        </w:rPr>
      </w:pPr>
      <w:r w:rsidRPr="00E449DA">
        <w:rPr>
          <w:rFonts w:hint="eastAsia"/>
          <w:b/>
          <w:szCs w:val="32"/>
        </w:rPr>
        <w:lastRenderedPageBreak/>
        <w:t>Abstract</w:t>
      </w:r>
      <w:r w:rsidRPr="00E449DA">
        <w:rPr>
          <w:rFonts w:hint="eastAsia"/>
          <w:szCs w:val="32"/>
        </w:rPr>
        <w:t>:</w:t>
      </w:r>
    </w:p>
    <w:p w:rsidR="00C771A9" w:rsidRDefault="00EF2FAE" w:rsidP="00C771A9">
      <w:pPr>
        <w:spacing w:before="120" w:after="240" w:line="500" w:lineRule="exact"/>
        <w:ind w:firstLine="0"/>
        <w:rPr>
          <w:szCs w:val="32"/>
        </w:rPr>
      </w:pPr>
      <w:r w:rsidRPr="00E449DA">
        <w:rPr>
          <w:rFonts w:hint="eastAsia"/>
          <w:szCs w:val="32"/>
        </w:rPr>
        <w:t xml:space="preserve">There are two conceptual aspects and respective functions of green investment: the </w:t>
      </w:r>
      <w:r w:rsidR="00B7606F">
        <w:rPr>
          <w:rFonts w:hint="eastAsia"/>
          <w:szCs w:val="32"/>
        </w:rPr>
        <w:t>financing</w:t>
      </w:r>
      <w:r w:rsidRPr="00E449DA">
        <w:rPr>
          <w:rFonts w:hint="eastAsia"/>
          <w:szCs w:val="32"/>
        </w:rPr>
        <w:t xml:space="preserve"> of energy conservation, emissions reduction and low carbon growth; and the enhancement of social inclusiveness and social equity. The former requires increasing investment in green economy sectors, and the latter demands better management of environmental and social risks. Faced with these needs, the BRICS Development Bank</w:t>
      </w:r>
      <w:r w:rsidR="00C771A9">
        <w:rPr>
          <w:rFonts w:hint="eastAsia"/>
          <w:szCs w:val="32"/>
        </w:rPr>
        <w:t>,</w:t>
      </w:r>
      <w:r w:rsidRPr="00E449DA">
        <w:rPr>
          <w:rFonts w:hint="eastAsia"/>
          <w:szCs w:val="32"/>
        </w:rPr>
        <w:t xml:space="preserve"> the Asian Infrastructure Investment Bank</w:t>
      </w:r>
      <w:r w:rsidR="00C771A9">
        <w:rPr>
          <w:rFonts w:hint="eastAsia"/>
          <w:szCs w:val="32"/>
        </w:rPr>
        <w:t>, and the Silk Road Fund</w:t>
      </w:r>
      <w:r w:rsidRPr="00E449DA">
        <w:rPr>
          <w:rFonts w:hint="eastAsia"/>
          <w:szCs w:val="32"/>
        </w:rPr>
        <w:t xml:space="preserve"> must practice green investment. </w:t>
      </w:r>
    </w:p>
    <w:p w:rsidR="008741A4" w:rsidRPr="00E449DA" w:rsidRDefault="00C771A9" w:rsidP="00C771A9">
      <w:pPr>
        <w:spacing w:before="120" w:after="240" w:line="500" w:lineRule="exact"/>
        <w:ind w:firstLine="0"/>
        <w:rPr>
          <w:rFonts w:ascii="仿宋" w:hAnsi="仿宋" w:cs="Times New Roman"/>
          <w:b/>
          <w:szCs w:val="32"/>
        </w:rPr>
      </w:pPr>
      <w:r w:rsidRPr="00F82AB1">
        <w:rPr>
          <w:spacing w:val="-2"/>
          <w:szCs w:val="32"/>
        </w:rPr>
        <w:t xml:space="preserve">The authors analyze best practices </w:t>
      </w:r>
      <w:r w:rsidR="00B7606F">
        <w:rPr>
          <w:rFonts w:hint="eastAsia"/>
          <w:spacing w:val="-2"/>
          <w:szCs w:val="32"/>
        </w:rPr>
        <w:t>of</w:t>
      </w:r>
      <w:r w:rsidRPr="00F82AB1">
        <w:rPr>
          <w:spacing w:val="-2"/>
          <w:szCs w:val="32"/>
        </w:rPr>
        <w:t xml:space="preserve"> multilateral development banks </w:t>
      </w:r>
      <w:r w:rsidR="00B7606F">
        <w:rPr>
          <w:rFonts w:hint="eastAsia"/>
          <w:spacing w:val="-2"/>
          <w:szCs w:val="32"/>
        </w:rPr>
        <w:t xml:space="preserve">in </w:t>
      </w:r>
      <w:r w:rsidR="00B7606F">
        <w:rPr>
          <w:spacing w:val="-2"/>
          <w:szCs w:val="32"/>
        </w:rPr>
        <w:t>the</w:t>
      </w:r>
      <w:r w:rsidR="00B7606F">
        <w:rPr>
          <w:rFonts w:hint="eastAsia"/>
          <w:spacing w:val="-2"/>
          <w:szCs w:val="32"/>
        </w:rPr>
        <w:t xml:space="preserve"> </w:t>
      </w:r>
      <w:r w:rsidR="00B7606F">
        <w:rPr>
          <w:spacing w:val="-2"/>
          <w:szCs w:val="32"/>
        </w:rPr>
        <w:t>promot</w:t>
      </w:r>
      <w:r w:rsidR="00B7606F">
        <w:rPr>
          <w:rFonts w:hint="eastAsia"/>
          <w:spacing w:val="-2"/>
          <w:szCs w:val="32"/>
        </w:rPr>
        <w:t xml:space="preserve">ion </w:t>
      </w:r>
      <w:r w:rsidR="00B7606F">
        <w:rPr>
          <w:spacing w:val="-2"/>
          <w:szCs w:val="32"/>
        </w:rPr>
        <w:t>of</w:t>
      </w:r>
      <w:r w:rsidRPr="00F82AB1">
        <w:rPr>
          <w:spacing w:val="-2"/>
          <w:szCs w:val="32"/>
        </w:rPr>
        <w:t xml:space="preserve"> green investments.</w:t>
      </w:r>
      <w:r w:rsidR="00B7606F">
        <w:rPr>
          <w:spacing w:val="-2"/>
          <w:szCs w:val="32"/>
        </w:rPr>
        <w:t xml:space="preserve"> </w:t>
      </w:r>
      <w:r w:rsidR="009C02F1" w:rsidRPr="00F82AB1">
        <w:rPr>
          <w:spacing w:val="-2"/>
          <w:szCs w:val="32"/>
        </w:rPr>
        <w:t>Based on the analysis</w:t>
      </w:r>
      <w:r w:rsidR="00EF2FAE" w:rsidRPr="00F82AB1">
        <w:rPr>
          <w:spacing w:val="-2"/>
          <w:szCs w:val="32"/>
        </w:rPr>
        <w:t xml:space="preserve">, </w:t>
      </w:r>
      <w:r w:rsidR="009C02F1" w:rsidRPr="00F82AB1">
        <w:rPr>
          <w:spacing w:val="-2"/>
          <w:szCs w:val="32"/>
        </w:rPr>
        <w:t>the authors</w:t>
      </w:r>
      <w:r w:rsidR="00EF2FAE" w:rsidRPr="00F82AB1">
        <w:rPr>
          <w:spacing w:val="-2"/>
          <w:szCs w:val="32"/>
        </w:rPr>
        <w:t xml:space="preserve"> offer the following recommendations: </w:t>
      </w:r>
      <w:r w:rsidRPr="00F82AB1">
        <w:rPr>
          <w:spacing w:val="-2"/>
          <w:szCs w:val="32"/>
        </w:rPr>
        <w:t>(</w:t>
      </w:r>
      <w:r w:rsidR="00EF2FAE" w:rsidRPr="00F82AB1">
        <w:rPr>
          <w:spacing w:val="-2"/>
          <w:szCs w:val="32"/>
        </w:rPr>
        <w:t xml:space="preserve">1) Issue green bonds to enable private capital to serve the transition to a green economy; </w:t>
      </w:r>
      <w:r w:rsidRPr="00F82AB1">
        <w:rPr>
          <w:spacing w:val="-2"/>
          <w:szCs w:val="32"/>
        </w:rPr>
        <w:t>(</w:t>
      </w:r>
      <w:r w:rsidR="00EF2FAE" w:rsidRPr="00F82AB1">
        <w:rPr>
          <w:spacing w:val="-2"/>
          <w:szCs w:val="32"/>
        </w:rPr>
        <w:t xml:space="preserve">2) Use public-private partnerships to attract private capital into infrastructure; </w:t>
      </w:r>
      <w:r w:rsidRPr="00F82AB1">
        <w:rPr>
          <w:spacing w:val="-2"/>
          <w:szCs w:val="32"/>
        </w:rPr>
        <w:t>(</w:t>
      </w:r>
      <w:r w:rsidR="00EF2FAE" w:rsidRPr="00F82AB1">
        <w:rPr>
          <w:spacing w:val="-2"/>
          <w:szCs w:val="32"/>
        </w:rPr>
        <w:t xml:space="preserve">3) Instill transparent </w:t>
      </w:r>
      <w:r w:rsidR="00B7606F">
        <w:rPr>
          <w:spacing w:val="-2"/>
          <w:szCs w:val="32"/>
        </w:rPr>
        <w:t xml:space="preserve">policy and </w:t>
      </w:r>
      <w:r w:rsidR="00EF2FAE" w:rsidRPr="00F82AB1">
        <w:rPr>
          <w:spacing w:val="-2"/>
          <w:szCs w:val="32"/>
        </w:rPr>
        <w:t>environmental disclosure system</w:t>
      </w:r>
      <w:r w:rsidR="00B7606F">
        <w:rPr>
          <w:spacing w:val="-2"/>
          <w:szCs w:val="32"/>
        </w:rPr>
        <w:t>,</w:t>
      </w:r>
      <w:r w:rsidR="00EF2FAE" w:rsidRPr="00F82AB1">
        <w:rPr>
          <w:spacing w:val="-2"/>
          <w:szCs w:val="32"/>
        </w:rPr>
        <w:t xml:space="preserve"> and set a</w:t>
      </w:r>
      <w:r w:rsidR="00B7606F">
        <w:rPr>
          <w:spacing w:val="-2"/>
          <w:szCs w:val="32"/>
        </w:rPr>
        <w:t xml:space="preserve"> target</w:t>
      </w:r>
      <w:r w:rsidR="00EF2FAE" w:rsidRPr="00F82AB1">
        <w:rPr>
          <w:spacing w:val="-2"/>
          <w:szCs w:val="32"/>
        </w:rPr>
        <w:t xml:space="preserve"> ratio for green credits; </w:t>
      </w:r>
      <w:r w:rsidRPr="00F82AB1">
        <w:rPr>
          <w:spacing w:val="-2"/>
          <w:szCs w:val="32"/>
        </w:rPr>
        <w:t>(</w:t>
      </w:r>
      <w:r w:rsidR="00EF2FAE" w:rsidRPr="00F82AB1">
        <w:rPr>
          <w:spacing w:val="-2"/>
          <w:szCs w:val="32"/>
        </w:rPr>
        <w:t>4) Adopt</w:t>
      </w:r>
      <w:r w:rsidR="00435213">
        <w:rPr>
          <w:spacing w:val="-2"/>
          <w:szCs w:val="32"/>
        </w:rPr>
        <w:t xml:space="preserve"> and comply with </w:t>
      </w:r>
      <w:r w:rsidR="00EF2FAE" w:rsidRPr="00F82AB1">
        <w:rPr>
          <w:spacing w:val="-2"/>
          <w:szCs w:val="32"/>
        </w:rPr>
        <w:t xml:space="preserve">the Equator Principles and set high marks for environmental and social risk management; </w:t>
      </w:r>
      <w:r w:rsidRPr="00F82AB1">
        <w:rPr>
          <w:spacing w:val="-2"/>
          <w:szCs w:val="32"/>
        </w:rPr>
        <w:t>(</w:t>
      </w:r>
      <w:r w:rsidR="00EF2FAE" w:rsidRPr="00F82AB1">
        <w:rPr>
          <w:spacing w:val="-2"/>
          <w:szCs w:val="32"/>
        </w:rPr>
        <w:t xml:space="preserve">5) </w:t>
      </w:r>
      <w:r w:rsidR="008C533C" w:rsidRPr="00F82AB1">
        <w:rPr>
          <w:spacing w:val="-2"/>
          <w:szCs w:val="32"/>
        </w:rPr>
        <w:t xml:space="preserve">Take into account community sustainable development </w:t>
      </w:r>
      <w:r w:rsidR="001E18FC" w:rsidRPr="00F82AB1">
        <w:rPr>
          <w:spacing w:val="-2"/>
          <w:szCs w:val="32"/>
        </w:rPr>
        <w:t>when</w:t>
      </w:r>
      <w:r w:rsidR="008C533C" w:rsidRPr="00F82AB1">
        <w:rPr>
          <w:spacing w:val="-2"/>
          <w:szCs w:val="32"/>
        </w:rPr>
        <w:t xml:space="preserve"> exporting extra production capacities; </w:t>
      </w:r>
      <w:r w:rsidRPr="00F82AB1">
        <w:rPr>
          <w:spacing w:val="-2"/>
          <w:szCs w:val="32"/>
        </w:rPr>
        <w:t>(</w:t>
      </w:r>
      <w:r w:rsidR="008C533C" w:rsidRPr="00F82AB1">
        <w:rPr>
          <w:spacing w:val="-2"/>
          <w:szCs w:val="32"/>
        </w:rPr>
        <w:t xml:space="preserve">6) </w:t>
      </w:r>
      <w:r w:rsidR="00435213">
        <w:rPr>
          <w:spacing w:val="-2"/>
          <w:szCs w:val="32"/>
        </w:rPr>
        <w:t>Practice</w:t>
      </w:r>
      <w:r w:rsidR="00EF2FAE" w:rsidRPr="00F82AB1">
        <w:rPr>
          <w:spacing w:val="-2"/>
          <w:szCs w:val="32"/>
        </w:rPr>
        <w:t xml:space="preserve"> energy conservation and emission reductions in procurement and investment.</w:t>
      </w:r>
      <w:r w:rsidR="00EF2FAE" w:rsidRPr="00E449DA">
        <w:rPr>
          <w:rFonts w:hint="eastAsia"/>
          <w:szCs w:val="32"/>
        </w:rPr>
        <w:t xml:space="preserve"> </w:t>
      </w:r>
      <w:r w:rsidR="008741A4" w:rsidRPr="00E449DA">
        <w:rPr>
          <w:rFonts w:ascii="仿宋" w:hAnsi="仿宋" w:cs="Times New Roman"/>
          <w:b/>
          <w:szCs w:val="32"/>
        </w:rPr>
        <w:br w:type="page"/>
      </w:r>
    </w:p>
    <w:p w:rsidR="0097242E" w:rsidRPr="00E449DA" w:rsidRDefault="0097242E" w:rsidP="00913FA3">
      <w:pPr>
        <w:pStyle w:val="Heading2"/>
        <w:ind w:firstLine="0"/>
      </w:pPr>
      <w:r w:rsidRPr="00E449DA">
        <w:rPr>
          <w:rFonts w:hint="eastAsia"/>
        </w:rPr>
        <w:lastRenderedPageBreak/>
        <w:t>引言</w:t>
      </w:r>
    </w:p>
    <w:p w:rsidR="00513E25" w:rsidRPr="00E449DA" w:rsidRDefault="0097242E" w:rsidP="00BA68AB">
      <w:r w:rsidRPr="00E449DA">
        <w:rPr>
          <w:rFonts w:cs="Times New Roman" w:hint="eastAsia"/>
        </w:rPr>
        <w:t>良好的基础设施是经济发展的必要条件，但目前公共财政和私有部门的投资不能满足基础设施投资的需求。</w:t>
      </w:r>
      <w:r w:rsidR="00D9326B" w:rsidRPr="00E449DA">
        <w:rPr>
          <w:rFonts w:hint="eastAsia"/>
        </w:rPr>
        <w:t>亚洲开发银行预计到</w:t>
      </w:r>
      <w:r w:rsidR="00D9326B" w:rsidRPr="00E449DA">
        <w:rPr>
          <w:rFonts w:hint="eastAsia"/>
        </w:rPr>
        <w:t>2020</w:t>
      </w:r>
      <w:r w:rsidR="00D9326B" w:rsidRPr="00E449DA">
        <w:rPr>
          <w:rFonts w:hint="eastAsia"/>
        </w:rPr>
        <w:t>年，亚洲基础设施将需要每年</w:t>
      </w:r>
      <w:r w:rsidR="00D9326B" w:rsidRPr="00E449DA">
        <w:rPr>
          <w:rFonts w:hint="eastAsia"/>
        </w:rPr>
        <w:t>7300</w:t>
      </w:r>
      <w:r w:rsidR="00D9326B" w:rsidRPr="00E449DA">
        <w:rPr>
          <w:rFonts w:hint="eastAsia"/>
        </w:rPr>
        <w:t>亿美元的投资</w:t>
      </w:r>
      <w:r w:rsidR="00D9326B" w:rsidRPr="00E449DA">
        <w:rPr>
          <w:rStyle w:val="FootnoteReference"/>
          <w:rFonts w:ascii="仿宋" w:hAnsi="仿宋"/>
          <w:szCs w:val="32"/>
        </w:rPr>
        <w:footnoteReference w:id="2"/>
      </w:r>
      <w:r w:rsidR="00D9326B" w:rsidRPr="00E449DA">
        <w:rPr>
          <w:rFonts w:hint="eastAsia"/>
        </w:rPr>
        <w:t>。</w:t>
      </w:r>
      <w:r w:rsidR="00F24D40" w:rsidRPr="00E449DA">
        <w:rPr>
          <w:rFonts w:hint="eastAsia"/>
        </w:rPr>
        <w:t>多年来，多边金融机构在世界各国，尤其是发展中国家的基础设施建设和经济发展中扮演了重要的角色，但它们的资金投入相对于庞大的投资需求相比仍然是捉襟见肘。世界经济尤其是广大发展中国家经济的持续健康发展，要求更多的投资主体和创新的投资模式。包括中国在内的金砖国家和亚洲发展中国家，应区域经济发展的要求，发起成立了金砖</w:t>
      </w:r>
      <w:r w:rsidR="00053DBD" w:rsidRPr="00E449DA">
        <w:rPr>
          <w:rFonts w:hint="eastAsia"/>
        </w:rPr>
        <w:t>国家</w:t>
      </w:r>
      <w:r w:rsidR="00F24D40" w:rsidRPr="00E449DA">
        <w:rPr>
          <w:rFonts w:hint="eastAsia"/>
        </w:rPr>
        <w:t>开发银行</w:t>
      </w:r>
      <w:r w:rsidR="00053DBD" w:rsidRPr="00E449DA">
        <w:rPr>
          <w:rFonts w:hint="eastAsia"/>
        </w:rPr>
        <w:t>、</w:t>
      </w:r>
      <w:r w:rsidR="00F24D40" w:rsidRPr="00E449DA">
        <w:rPr>
          <w:rFonts w:hint="eastAsia"/>
        </w:rPr>
        <w:t>亚洲基础设施投资银行</w:t>
      </w:r>
      <w:r w:rsidR="00053DBD" w:rsidRPr="00E449DA">
        <w:rPr>
          <w:rFonts w:hint="eastAsia"/>
        </w:rPr>
        <w:t>和丝绸之路基金</w:t>
      </w:r>
      <w:r w:rsidR="00F24D40" w:rsidRPr="00E449DA">
        <w:rPr>
          <w:rFonts w:hint="eastAsia"/>
        </w:rPr>
        <w:t>(</w:t>
      </w:r>
      <w:r w:rsidR="00F24D40" w:rsidRPr="00E449DA">
        <w:rPr>
          <w:rFonts w:hint="eastAsia"/>
        </w:rPr>
        <w:t>下</w:t>
      </w:r>
      <w:r w:rsidR="00C756B2" w:rsidRPr="00E449DA">
        <w:rPr>
          <w:rFonts w:hint="eastAsia"/>
        </w:rPr>
        <w:t>文</w:t>
      </w:r>
      <w:r w:rsidR="00053DBD" w:rsidRPr="00E449DA">
        <w:rPr>
          <w:rFonts w:hint="eastAsia"/>
        </w:rPr>
        <w:t>统称为“两行一金”</w:t>
      </w:r>
      <w:r w:rsidR="00F24D40" w:rsidRPr="00E449DA">
        <w:rPr>
          <w:rFonts w:hint="eastAsia"/>
        </w:rPr>
        <w:t>)</w:t>
      </w:r>
      <w:r w:rsidR="00F24D40" w:rsidRPr="00E449DA">
        <w:rPr>
          <w:rFonts w:hint="eastAsia"/>
        </w:rPr>
        <w:t>。但随着“两行</w:t>
      </w:r>
      <w:r w:rsidR="00053DBD" w:rsidRPr="00E449DA">
        <w:rPr>
          <w:rFonts w:hint="eastAsia"/>
        </w:rPr>
        <w:t>一金</w:t>
      </w:r>
      <w:r w:rsidR="00F24D40" w:rsidRPr="00E449DA">
        <w:rPr>
          <w:rFonts w:hint="eastAsia"/>
        </w:rPr>
        <w:t>”筹备工作加快，国际上对“两行</w:t>
      </w:r>
      <w:r w:rsidR="00053DBD" w:rsidRPr="00E449DA">
        <w:rPr>
          <w:rFonts w:hint="eastAsia"/>
        </w:rPr>
        <w:t>一金</w:t>
      </w:r>
      <w:r w:rsidR="00F24D40" w:rsidRPr="00E449DA">
        <w:rPr>
          <w:rFonts w:hint="eastAsia"/>
        </w:rPr>
        <w:t>”在绿色投资方面的政策走向，尤其是对“两行</w:t>
      </w:r>
      <w:r w:rsidR="00053DBD" w:rsidRPr="00E449DA">
        <w:rPr>
          <w:rFonts w:hint="eastAsia"/>
        </w:rPr>
        <w:t>一金</w:t>
      </w:r>
      <w:r w:rsidR="00F24D40" w:rsidRPr="00E449DA">
        <w:rPr>
          <w:rFonts w:hint="eastAsia"/>
        </w:rPr>
        <w:t>”能否按照国际规则很好地管理其投资所产生的环境和社会风险，存在疑虑。本文从界定绿色投资入手，简述“两行</w:t>
      </w:r>
      <w:r w:rsidR="00053DBD" w:rsidRPr="00E449DA">
        <w:rPr>
          <w:rFonts w:hint="eastAsia"/>
        </w:rPr>
        <w:t>一金</w:t>
      </w:r>
      <w:r w:rsidR="00F24D40" w:rsidRPr="00E449DA">
        <w:rPr>
          <w:rFonts w:hint="eastAsia"/>
        </w:rPr>
        <w:t>”进行绿色投资的必要性，并参照国际规则和惯常做法对两行进行绿色投资提出了若干建议。</w:t>
      </w:r>
    </w:p>
    <w:p w:rsidR="00513E25" w:rsidRPr="00E449DA" w:rsidRDefault="00913FA3" w:rsidP="00913FA3">
      <w:pPr>
        <w:pStyle w:val="Heading2"/>
      </w:pPr>
      <w:bookmarkStart w:id="3" w:name="_Toc10342"/>
      <w:bookmarkStart w:id="4" w:name="_Toc403484967"/>
      <w:bookmarkStart w:id="5" w:name="_Toc2390"/>
      <w:r>
        <w:rPr>
          <w:rFonts w:hint="eastAsia"/>
        </w:rPr>
        <w:lastRenderedPageBreak/>
        <w:t>一、</w:t>
      </w:r>
      <w:r w:rsidR="00053DBD" w:rsidRPr="00E449DA">
        <w:rPr>
          <w:rFonts w:hint="eastAsia"/>
        </w:rPr>
        <w:t>“两行一金”</w:t>
      </w:r>
      <w:r w:rsidR="00F24D40" w:rsidRPr="00E449DA">
        <w:rPr>
          <w:rFonts w:hint="eastAsia"/>
        </w:rPr>
        <w:t>开展绿色投资的必要性</w:t>
      </w:r>
      <w:bookmarkEnd w:id="3"/>
      <w:bookmarkEnd w:id="4"/>
      <w:bookmarkEnd w:id="5"/>
    </w:p>
    <w:p w:rsidR="00513E25" w:rsidRPr="00E449DA" w:rsidRDefault="00F24D40" w:rsidP="00913FA3">
      <w:r w:rsidRPr="00E449DA">
        <w:rPr>
          <w:rFonts w:hint="eastAsia"/>
        </w:rPr>
        <w:t>多边金融机构所支持的投资项目理应促进一个行业或地区的发展，但如果投资方向和风险管理失误，也可能由于导致负面的环境影响而阻碍地区经济的可持续发展。因此，多边机构的投资不仅应该满足当地某些社会群体的短期需要，而且要顾及该地区长期发展的需要。这就要求投资者不以牺牲当地的生态环境等公共资源为代价来发展只对一部分人或眼前有利的项目。</w:t>
      </w:r>
      <w:r w:rsidRPr="00E449DA">
        <w:rPr>
          <w:rFonts w:hint="eastAsia"/>
        </w:rPr>
        <w:t xml:space="preserve"> </w:t>
      </w:r>
    </w:p>
    <w:p w:rsidR="00513E25" w:rsidRPr="00E449DA" w:rsidRDefault="00F24D40" w:rsidP="00461F98">
      <w:r w:rsidRPr="00E449DA">
        <w:rPr>
          <w:rFonts w:hint="eastAsia"/>
        </w:rPr>
        <w:t>实现绿色投资的工具包括两类：一类是绿色金融工具，包括绿色财政（贴息、担保、减税、价格补贴、政府采购等）、绿色信贷、绿色基金、绿色债券和股票、绿色保险等一系列金融服务工具，将社会资金引导到清洁能源、节能减排、环保、绿色建筑和绿色交通等绿色产业领域。另一类是环境和社会风险管理工具，包括国际组织、政府和私营部门制定的关于环境、健康和安全的一系列标准、指引和操作流程，旨在帮助金融机构有效地识别、计量、监测、控制投融资活动中的环境和社会风险。</w:t>
      </w:r>
    </w:p>
    <w:p w:rsidR="00513E25" w:rsidRPr="00E449DA" w:rsidRDefault="00F24D40" w:rsidP="00913FA3">
      <w:r w:rsidRPr="00E449DA">
        <w:rPr>
          <w:rFonts w:hint="eastAsia"/>
        </w:rPr>
        <w:t>众所周知，发展中国家的基础设施投资存在巨大缺口。世界经济论坛报告显示，全球在农业、水利、电力、通讯、交通、建筑、工业设施及森林等方面的基础设施投资在</w:t>
      </w:r>
      <w:r w:rsidRPr="00E449DA">
        <w:rPr>
          <w:rFonts w:hint="eastAsia"/>
        </w:rPr>
        <w:t>2020</w:t>
      </w:r>
      <w:r w:rsidRPr="00E449DA">
        <w:rPr>
          <w:rFonts w:hint="eastAsia"/>
        </w:rPr>
        <w:lastRenderedPageBreak/>
        <w:t>年前每年至少需要</w:t>
      </w:r>
      <w:r w:rsidRPr="00E449DA">
        <w:rPr>
          <w:rFonts w:hint="eastAsia"/>
        </w:rPr>
        <w:t>5</w:t>
      </w:r>
      <w:r w:rsidRPr="00E449DA">
        <w:rPr>
          <w:rFonts w:hint="eastAsia"/>
        </w:rPr>
        <w:t>万亿美元</w:t>
      </w:r>
      <w:r w:rsidRPr="00E449DA">
        <w:rPr>
          <w:rFonts w:hint="eastAsia"/>
          <w:vertAlign w:val="superscript"/>
        </w:rPr>
        <w:footnoteReference w:id="3"/>
      </w:r>
      <w:r w:rsidRPr="00E449DA">
        <w:rPr>
          <w:rFonts w:hint="eastAsia"/>
        </w:rPr>
        <w:t>。世界银行预测亚太地区每年在低碳基础设施方面的投资需求是</w:t>
      </w:r>
      <w:r w:rsidRPr="00E449DA">
        <w:rPr>
          <w:rFonts w:hint="eastAsia"/>
        </w:rPr>
        <w:t>800</w:t>
      </w:r>
      <w:r w:rsidRPr="00E449DA">
        <w:rPr>
          <w:rFonts w:hint="eastAsia"/>
        </w:rPr>
        <w:t>亿美元</w:t>
      </w:r>
      <w:r w:rsidRPr="00E449DA">
        <w:rPr>
          <w:rFonts w:hint="eastAsia"/>
          <w:vertAlign w:val="superscript"/>
        </w:rPr>
        <w:footnoteReference w:id="4"/>
      </w:r>
      <w:r w:rsidRPr="00E449DA">
        <w:rPr>
          <w:rFonts w:hint="eastAsia"/>
        </w:rPr>
        <w:t>。但是现有的区域性多边金融机构并不能满足这些需求，这限制了这些国家的经济社会发展。建立</w:t>
      </w:r>
      <w:r w:rsidR="00053DBD" w:rsidRPr="00E449DA">
        <w:rPr>
          <w:rFonts w:hint="eastAsia"/>
        </w:rPr>
        <w:t>“两行一金”</w:t>
      </w:r>
      <w:r w:rsidRPr="00E449DA">
        <w:rPr>
          <w:rFonts w:hint="eastAsia"/>
        </w:rPr>
        <w:t>将填补发展中国家基础设施的部分投资缺口。</w:t>
      </w:r>
    </w:p>
    <w:p w:rsidR="00513E25" w:rsidRPr="00E449DA" w:rsidRDefault="00F24D40" w:rsidP="00913FA3">
      <w:r w:rsidRPr="00E449DA">
        <w:rPr>
          <w:rFonts w:hint="eastAsia"/>
        </w:rPr>
        <w:t>然而，随着以中国为首倡导的</w:t>
      </w:r>
      <w:r w:rsidR="00053DBD" w:rsidRPr="00E449DA">
        <w:rPr>
          <w:rFonts w:hint="eastAsia"/>
        </w:rPr>
        <w:t>“两行一金”</w:t>
      </w:r>
      <w:r w:rsidRPr="00E449DA">
        <w:rPr>
          <w:rFonts w:hint="eastAsia"/>
        </w:rPr>
        <w:t>的筹备工作加快，一些国家对“两行</w:t>
      </w:r>
      <w:r w:rsidR="00053DBD" w:rsidRPr="00E449DA">
        <w:rPr>
          <w:rFonts w:hint="eastAsia"/>
        </w:rPr>
        <w:t>一金</w:t>
      </w:r>
      <w:r w:rsidRPr="00E449DA">
        <w:rPr>
          <w:rFonts w:hint="eastAsia"/>
        </w:rPr>
        <w:t>”在治理</w:t>
      </w:r>
      <w:r w:rsidR="00053DBD" w:rsidRPr="00E449DA">
        <w:rPr>
          <w:rFonts w:hint="eastAsia"/>
        </w:rPr>
        <w:t>等</w:t>
      </w:r>
      <w:r w:rsidRPr="00E449DA">
        <w:rPr>
          <w:rFonts w:hint="eastAsia"/>
        </w:rPr>
        <w:t>方面的政策走向产生了一些误解和顾虑，担心“两行</w:t>
      </w:r>
      <w:r w:rsidR="00053DBD" w:rsidRPr="00E449DA">
        <w:rPr>
          <w:rFonts w:hint="eastAsia"/>
        </w:rPr>
        <w:t>一金</w:t>
      </w:r>
      <w:r w:rsidRPr="00E449DA">
        <w:rPr>
          <w:rFonts w:hint="eastAsia"/>
        </w:rPr>
        <w:t>”在未来的采购和投资决策中</w:t>
      </w:r>
      <w:r w:rsidR="005B16AC" w:rsidRPr="00E449DA">
        <w:rPr>
          <w:rFonts w:hint="eastAsia"/>
        </w:rPr>
        <w:t>不会</w:t>
      </w:r>
      <w:r w:rsidRPr="00E449DA">
        <w:rPr>
          <w:rFonts w:hint="eastAsia"/>
        </w:rPr>
        <w:t>执行严格的环境保护和社会公正政策。针对这些误解和顾虑，中国国家主席习近平在会见出席筹建亚洲基础设施投资银行备忘录签署仪式的各国代表时表示，亚洲基础设施投资银行将学习和借鉴世界银行和亚洲开发银行等多边发展机构的经验和规则</w:t>
      </w:r>
      <w:r w:rsidRPr="00E449DA">
        <w:rPr>
          <w:rFonts w:hint="eastAsia"/>
          <w:vertAlign w:val="superscript"/>
        </w:rPr>
        <w:footnoteReference w:id="5"/>
      </w:r>
      <w:r w:rsidRPr="00E449DA">
        <w:rPr>
          <w:rFonts w:hint="eastAsia"/>
        </w:rPr>
        <w:t>。在备忘录签署仪式后，中国财政部部长楼继伟对记者表示，中国将一如既往地支持现有多边开发银行，并将通过联合融资等方式加强与现有多边开发银行的合作，共同促进亚洲经济持续稳定</w:t>
      </w:r>
      <w:r w:rsidR="00053DBD" w:rsidRPr="00E449DA">
        <w:rPr>
          <w:rFonts w:hint="eastAsia"/>
        </w:rPr>
        <w:t>健康</w:t>
      </w:r>
      <w:r w:rsidRPr="00E449DA">
        <w:rPr>
          <w:rFonts w:hint="eastAsia"/>
        </w:rPr>
        <w:t>发展。我们有理由相信，“两行</w:t>
      </w:r>
      <w:r w:rsidR="00053DBD" w:rsidRPr="00E449DA">
        <w:rPr>
          <w:rFonts w:hint="eastAsia"/>
        </w:rPr>
        <w:t>一金</w:t>
      </w:r>
      <w:r w:rsidRPr="00E449DA">
        <w:rPr>
          <w:rFonts w:hint="eastAsia"/>
        </w:rPr>
        <w:t>”在未来的投资决策中将努力践行国际上通用的关于环境、社会和治理方面的标准（统称为</w:t>
      </w:r>
      <w:r w:rsidRPr="00E449DA">
        <w:rPr>
          <w:rFonts w:hint="eastAsia"/>
        </w:rPr>
        <w:t>ESG</w:t>
      </w:r>
      <w:r w:rsidRPr="00E449DA">
        <w:rPr>
          <w:rFonts w:hint="eastAsia"/>
        </w:rPr>
        <w:lastRenderedPageBreak/>
        <w:t>标准），高度重视环境和社会风险管理。</w:t>
      </w:r>
    </w:p>
    <w:p w:rsidR="00513E25" w:rsidRPr="00E449DA" w:rsidRDefault="00053DBD" w:rsidP="00913FA3">
      <w:r w:rsidRPr="00E449DA">
        <w:rPr>
          <w:rFonts w:hint="eastAsia"/>
        </w:rPr>
        <w:t>“两行一金”</w:t>
      </w:r>
      <w:r w:rsidR="00F24D40" w:rsidRPr="00E449DA">
        <w:rPr>
          <w:rFonts w:hint="eastAsia"/>
        </w:rPr>
        <w:t>的投资将集中在亚洲和其他地区的发展中国家。这些国家的法律体系相对来说</w:t>
      </w:r>
      <w:r w:rsidR="00F24D40" w:rsidRPr="00913FA3">
        <w:rPr>
          <w:rFonts w:hint="eastAsia"/>
        </w:rPr>
        <w:t>不</w:t>
      </w:r>
      <w:r w:rsidR="00F24D40" w:rsidRPr="00E449DA">
        <w:rPr>
          <w:rFonts w:hint="eastAsia"/>
        </w:rPr>
        <w:t>够成熟，法律执行力不够强，来自民间组织和媒体等的外部监督较弱，这使“两行</w:t>
      </w:r>
      <w:r w:rsidRPr="00E449DA">
        <w:rPr>
          <w:rFonts w:hint="eastAsia"/>
        </w:rPr>
        <w:t>一金</w:t>
      </w:r>
      <w:r w:rsidR="00F24D40" w:rsidRPr="00E449DA">
        <w:rPr>
          <w:rFonts w:hint="eastAsia"/>
        </w:rPr>
        <w:t>”面临着较大的环境和社会风险。经验证明，银行不重视环境和社会风险管理不仅会给地区带来环境灾难，也会伤害银行本身，或导致直接的财务损失，或影响银行的声誉。世界资源研究所（</w:t>
      </w:r>
      <w:r w:rsidR="00F24D40" w:rsidRPr="00E449DA">
        <w:rPr>
          <w:rFonts w:hint="eastAsia"/>
        </w:rPr>
        <w:t>World Resources Institute</w:t>
      </w:r>
      <w:r w:rsidR="00F24D40" w:rsidRPr="00E449DA">
        <w:rPr>
          <w:rFonts w:hint="eastAsia"/>
        </w:rPr>
        <w:t>，简称</w:t>
      </w:r>
      <w:r w:rsidR="00F24D40" w:rsidRPr="00E449DA">
        <w:rPr>
          <w:rFonts w:hint="eastAsia"/>
        </w:rPr>
        <w:t>WRI</w:t>
      </w:r>
      <w:r w:rsidR="00F24D40" w:rsidRPr="00E449DA">
        <w:rPr>
          <w:rFonts w:hint="eastAsia"/>
        </w:rPr>
        <w:t>）在《对外投资中的环境与社会影响案例研究：国际经验与教训》的工作论文</w:t>
      </w:r>
      <w:r w:rsidR="00F24D40" w:rsidRPr="00E449DA">
        <w:rPr>
          <w:rFonts w:hint="eastAsia"/>
          <w:vertAlign w:val="superscript"/>
        </w:rPr>
        <w:footnoteReference w:id="6"/>
      </w:r>
      <w:r w:rsidR="00F24D40" w:rsidRPr="00E449DA">
        <w:rPr>
          <w:rFonts w:hint="eastAsia"/>
        </w:rPr>
        <w:t>中，分析了一些公司在投资中不注意环境和社会风险管理而给当地社区、融资机构和自身带来损害的案例。譬如金光纸业无视环保要求</w:t>
      </w:r>
      <w:r w:rsidR="00C058E2">
        <w:rPr>
          <w:rFonts w:hint="eastAsia"/>
        </w:rPr>
        <w:t>在海外</w:t>
      </w:r>
      <w:r w:rsidR="00F24D40" w:rsidRPr="00E449DA">
        <w:rPr>
          <w:rFonts w:hint="eastAsia"/>
        </w:rPr>
        <w:t>盲目扩张而造成资金链断裂和破产重组，给中国国有银行带来高达</w:t>
      </w:r>
      <w:r w:rsidR="00F24D40" w:rsidRPr="00E449DA">
        <w:rPr>
          <w:rFonts w:hint="eastAsia"/>
        </w:rPr>
        <w:t>18</w:t>
      </w:r>
      <w:r w:rsidR="00F24D40" w:rsidRPr="00E449DA">
        <w:rPr>
          <w:rFonts w:hint="eastAsia"/>
        </w:rPr>
        <w:t>亿美元的损失。</w:t>
      </w:r>
      <w:r w:rsidR="006F3ADD" w:rsidRPr="00E449DA">
        <w:rPr>
          <w:rFonts w:hint="eastAsia"/>
        </w:rPr>
        <w:t>一些企业在海外投资中因破坏</w:t>
      </w:r>
      <w:r w:rsidR="00CE1167" w:rsidRPr="00E449DA">
        <w:rPr>
          <w:rFonts w:hint="eastAsia"/>
        </w:rPr>
        <w:t>环境</w:t>
      </w:r>
      <w:r w:rsidR="006F3ADD" w:rsidRPr="00E449DA">
        <w:rPr>
          <w:rFonts w:hint="eastAsia"/>
        </w:rPr>
        <w:t>而给国家声誉造成损害的事例也屡见不鲜。譬如中石油在乍</w:t>
      </w:r>
      <w:bookmarkStart w:id="6" w:name="_GoBack"/>
      <w:bookmarkEnd w:id="6"/>
      <w:r w:rsidR="006F3ADD" w:rsidRPr="00E449DA">
        <w:rPr>
          <w:rFonts w:hint="eastAsia"/>
        </w:rPr>
        <w:t>得因往矿坑中偷排原油</w:t>
      </w:r>
      <w:r w:rsidR="00CE1167" w:rsidRPr="00E449DA">
        <w:rPr>
          <w:rFonts w:hint="eastAsia"/>
        </w:rPr>
        <w:t>而被罚款</w:t>
      </w:r>
      <w:r w:rsidR="00203CD5" w:rsidRPr="00E449DA">
        <w:rPr>
          <w:rFonts w:hint="eastAsia"/>
        </w:rPr>
        <w:t>12</w:t>
      </w:r>
      <w:r w:rsidR="00CE1167" w:rsidRPr="00E449DA">
        <w:rPr>
          <w:rFonts w:hint="eastAsia"/>
        </w:rPr>
        <w:t>亿美元</w:t>
      </w:r>
      <w:r w:rsidR="00203CD5" w:rsidRPr="00E449DA">
        <w:rPr>
          <w:rFonts w:hint="eastAsia"/>
        </w:rPr>
        <w:t>（后实缴</w:t>
      </w:r>
      <w:r w:rsidR="00203CD5" w:rsidRPr="00E449DA">
        <w:rPr>
          <w:rFonts w:hint="eastAsia"/>
        </w:rPr>
        <w:t>4</w:t>
      </w:r>
      <w:r w:rsidR="00203CD5" w:rsidRPr="00E449DA">
        <w:rPr>
          <w:rFonts w:hint="eastAsia"/>
        </w:rPr>
        <w:t>亿美元）</w:t>
      </w:r>
      <w:r w:rsidR="00CE1167" w:rsidRPr="00E449DA">
        <w:rPr>
          <w:rFonts w:hint="eastAsia"/>
        </w:rPr>
        <w:t>，并造成</w:t>
      </w:r>
      <w:r w:rsidR="00203CD5" w:rsidRPr="00E449DA">
        <w:rPr>
          <w:rFonts w:hint="eastAsia"/>
        </w:rPr>
        <w:t>很</w:t>
      </w:r>
      <w:r w:rsidR="00CE1167" w:rsidRPr="00E449DA">
        <w:rPr>
          <w:rFonts w:hint="eastAsia"/>
        </w:rPr>
        <w:t>坏的国际影响。</w:t>
      </w:r>
      <w:r w:rsidR="00203CD5" w:rsidRPr="00E449DA">
        <w:rPr>
          <w:rFonts w:hint="eastAsia"/>
        </w:rPr>
        <w:t>首钢集团也曾在秘鲁因劳工纠纷和环境污染而被国际社会</w:t>
      </w:r>
      <w:r w:rsidR="00B943FA" w:rsidRPr="00E449DA">
        <w:rPr>
          <w:rFonts w:hint="eastAsia"/>
        </w:rPr>
        <w:t>广泛</w:t>
      </w:r>
      <w:r w:rsidR="00203CD5" w:rsidRPr="00E449DA">
        <w:rPr>
          <w:rFonts w:hint="eastAsia"/>
        </w:rPr>
        <w:t>关注。</w:t>
      </w:r>
    </w:p>
    <w:p w:rsidR="00513E25" w:rsidRPr="00E449DA" w:rsidRDefault="00F24D40" w:rsidP="00913FA3">
      <w:pPr>
        <w:pStyle w:val="Heading2"/>
      </w:pPr>
      <w:bookmarkStart w:id="7" w:name="_Toc28579"/>
      <w:bookmarkStart w:id="8" w:name="_Toc403484968"/>
      <w:bookmarkStart w:id="9" w:name="_Toc9894"/>
      <w:r w:rsidRPr="00E449DA">
        <w:rPr>
          <w:rFonts w:hint="eastAsia"/>
        </w:rPr>
        <w:lastRenderedPageBreak/>
        <w:t>二</w:t>
      </w:r>
      <w:r w:rsidR="00913FA3">
        <w:rPr>
          <w:rFonts w:hint="eastAsia"/>
        </w:rPr>
        <w:t>、</w:t>
      </w:r>
      <w:r w:rsidRPr="00E449DA">
        <w:rPr>
          <w:rFonts w:hint="eastAsia"/>
        </w:rPr>
        <w:t>国际上推行绿色投资的良好实践</w:t>
      </w:r>
      <w:bookmarkEnd w:id="7"/>
      <w:bookmarkEnd w:id="8"/>
      <w:bookmarkEnd w:id="9"/>
    </w:p>
    <w:p w:rsidR="00513E25" w:rsidRPr="00E449DA" w:rsidRDefault="00F24D40" w:rsidP="00913FA3">
      <w:r w:rsidRPr="00E449DA">
        <w:rPr>
          <w:rFonts w:hint="eastAsia"/>
        </w:rPr>
        <w:t>中国人民银行研究局首席经济学家马骏等在其发表的《人民银行工作论文（</w:t>
      </w:r>
      <w:r w:rsidRPr="00E449DA">
        <w:rPr>
          <w:rFonts w:hint="eastAsia"/>
        </w:rPr>
        <w:t>2014-07</w:t>
      </w:r>
      <w:r w:rsidRPr="00E449DA">
        <w:rPr>
          <w:rFonts w:hint="eastAsia"/>
        </w:rPr>
        <w:t>号）》中建议推行绿色金融的一系列好的国际实践，认为绿色投资可以用三种手段同时推进：第一，金融机构向市场提供金融产品，如绿色信贷、绿色债券、绿色保险等；第二，政府采用财政手段撬动民间绿色投资，譬如政府提高绿色贷款贴息和担保、对绿色债券免税、成立绿色银行、鼓励民间成立绿色基金等；第三，政府用金融制度对绿色投资进行引导，措施包括通过立法明确金融机构对所投污染项目的法律责任、要求上市公司和发行债券的企业符合绿色社会责任规范、建立对项目环境成本的量化和评估体系等</w:t>
      </w:r>
      <w:r w:rsidRPr="00E449DA">
        <w:rPr>
          <w:rFonts w:hint="eastAsia"/>
          <w:vertAlign w:val="superscript"/>
        </w:rPr>
        <w:footnoteReference w:id="7"/>
      </w:r>
      <w:r w:rsidRPr="00E449DA">
        <w:rPr>
          <w:rFonts w:hint="eastAsia"/>
        </w:rPr>
        <w:t>。</w:t>
      </w:r>
    </w:p>
    <w:p w:rsidR="00513E25" w:rsidRPr="00E449DA" w:rsidRDefault="00F24D40" w:rsidP="00913FA3">
      <w:r w:rsidRPr="00E449DA">
        <w:rPr>
          <w:rFonts w:hint="eastAsia"/>
        </w:rPr>
        <w:t>在环境和社会风险管理方面，联合国的一些部门与金融界合作开发了许多标准、规范和工具。世行、亚行等多边开发银行也积累了很多先进的经验和好的做法，在治理结构、环评政策、保障条款、采购政策、借款国财政可持续性评价以及包括基础设施领域投资在内的项目管理等方面形成了一系列标准体系和政策要求。</w:t>
      </w:r>
    </w:p>
    <w:p w:rsidR="00513E25" w:rsidRPr="00E449DA" w:rsidRDefault="00CF2B8D" w:rsidP="00913FA3">
      <w:r w:rsidRPr="00E449DA">
        <w:rPr>
          <w:rFonts w:hint="eastAsia"/>
        </w:rPr>
        <w:t>由于</w:t>
      </w:r>
      <w:r w:rsidR="00F24D40" w:rsidRPr="00E449DA">
        <w:rPr>
          <w:rFonts w:hint="eastAsia"/>
        </w:rPr>
        <w:t>本文主要关注</w:t>
      </w:r>
      <w:r w:rsidRPr="00E449DA">
        <w:rPr>
          <w:rFonts w:hint="eastAsia"/>
        </w:rPr>
        <w:t>对象是“两行一金”</w:t>
      </w:r>
      <w:r w:rsidR="00F24D40" w:rsidRPr="00E449DA">
        <w:rPr>
          <w:rFonts w:hint="eastAsia"/>
        </w:rPr>
        <w:t>的绿色投资，</w:t>
      </w:r>
      <w:r w:rsidRPr="00E449DA">
        <w:rPr>
          <w:rFonts w:hint="eastAsia"/>
        </w:rPr>
        <w:t>所以</w:t>
      </w:r>
      <w:r w:rsidR="00F24D40" w:rsidRPr="00E449DA">
        <w:rPr>
          <w:rFonts w:hint="eastAsia"/>
        </w:rPr>
        <w:t>下面集中讨论多边区域金融机构在推动国际性绿色投资</w:t>
      </w:r>
      <w:r w:rsidR="00F24D40" w:rsidRPr="00E449DA">
        <w:rPr>
          <w:rFonts w:hint="eastAsia"/>
        </w:rPr>
        <w:lastRenderedPageBreak/>
        <w:t>方面的一些经验。</w:t>
      </w:r>
      <w:r w:rsidR="00F24D40" w:rsidRPr="00E449DA">
        <w:rPr>
          <w:rFonts w:hint="eastAsia"/>
        </w:rPr>
        <w:t xml:space="preserve"> </w:t>
      </w:r>
    </w:p>
    <w:p w:rsidR="00513E25" w:rsidRPr="00E449DA" w:rsidRDefault="00913FA3" w:rsidP="00913FA3">
      <w:pPr>
        <w:pStyle w:val="Heading3"/>
      </w:pPr>
      <w:r>
        <w:rPr>
          <w:rFonts w:hint="eastAsia"/>
        </w:rPr>
        <w:t>（一）</w:t>
      </w:r>
      <w:r w:rsidR="00F24D40" w:rsidRPr="00E449DA">
        <w:rPr>
          <w:rFonts w:hint="eastAsia"/>
        </w:rPr>
        <w:t>发行绿色债券</w:t>
      </w:r>
    </w:p>
    <w:p w:rsidR="00513E25" w:rsidRPr="00E449DA" w:rsidRDefault="00F24D40" w:rsidP="00913FA3">
      <w:r w:rsidRPr="00E449DA">
        <w:rPr>
          <w:rFonts w:hint="eastAsia"/>
        </w:rPr>
        <w:t>绿色项目具有正外部性，污染项目具有负外部性，而现行的政策和定价体系并没有将这些外部性内化到项目回报中；另外，许多绿色项目存在先期资本投入大、回收期长等问题，这些因素加大了绿色项目的融资难度。为解决绿色项目资金短缺，近年来多边金融机构推出了绿色债券产品，通过发债将民间资金引入绿色投资领域。到</w:t>
      </w:r>
      <w:r w:rsidRPr="00E449DA">
        <w:rPr>
          <w:rFonts w:hint="eastAsia"/>
        </w:rPr>
        <w:t>2013</w:t>
      </w:r>
      <w:r w:rsidRPr="00E449DA">
        <w:rPr>
          <w:rFonts w:hint="eastAsia"/>
        </w:rPr>
        <w:t>年末，世界银行集团和其旗下的国际金融公司通过发行气候债券共融资约</w:t>
      </w:r>
      <w:r w:rsidRPr="00E449DA">
        <w:rPr>
          <w:rFonts w:hint="eastAsia"/>
        </w:rPr>
        <w:t>75</w:t>
      </w:r>
      <w:r w:rsidRPr="00E449DA">
        <w:rPr>
          <w:rFonts w:hint="eastAsia"/>
        </w:rPr>
        <w:t>亿美元。这些资金投入到再生能源、能效、环保等领域，支持的项目散分在印度、中国、土耳其、印度尼西亚、亚美尼亚等发展中国家。气候债券组织指出，在</w:t>
      </w:r>
      <w:r w:rsidRPr="00E449DA">
        <w:rPr>
          <w:rFonts w:hint="eastAsia"/>
        </w:rPr>
        <w:t>2013</w:t>
      </w:r>
      <w:r w:rsidRPr="00E449DA">
        <w:rPr>
          <w:rFonts w:hint="eastAsia"/>
        </w:rPr>
        <w:t>年有大约</w:t>
      </w:r>
      <w:r w:rsidRPr="00E449DA">
        <w:rPr>
          <w:rFonts w:hint="eastAsia"/>
        </w:rPr>
        <w:t>3460</w:t>
      </w:r>
      <w:r w:rsidRPr="00E449DA">
        <w:rPr>
          <w:rFonts w:hint="eastAsia"/>
        </w:rPr>
        <w:t>亿美元的债券与气候变化解决方案相关，大约</w:t>
      </w:r>
      <w:r w:rsidRPr="00E449DA">
        <w:rPr>
          <w:rFonts w:hint="eastAsia"/>
        </w:rPr>
        <w:t>1590</w:t>
      </w:r>
      <w:r w:rsidRPr="00E449DA">
        <w:rPr>
          <w:rFonts w:hint="eastAsia"/>
        </w:rPr>
        <w:t>亿美元作为绿色债券或气候债券上市，其中大量的债券由各国的开发银行发行</w:t>
      </w:r>
      <w:r w:rsidRPr="00E449DA">
        <w:rPr>
          <w:rFonts w:hint="eastAsia"/>
          <w:vertAlign w:val="superscript"/>
        </w:rPr>
        <w:footnoteReference w:id="8"/>
      </w:r>
      <w:r w:rsidRPr="00E449DA">
        <w:rPr>
          <w:rFonts w:hint="eastAsia"/>
        </w:rPr>
        <w:t>。</w:t>
      </w:r>
    </w:p>
    <w:p w:rsidR="00513E25" w:rsidRPr="00E449DA" w:rsidRDefault="00F24D40" w:rsidP="00913FA3">
      <w:r w:rsidRPr="00E449DA">
        <w:rPr>
          <w:rFonts w:hint="eastAsia"/>
        </w:rPr>
        <w:t>下图显示了世界银行绿色债券投资方向的区域和行业分布：</w:t>
      </w:r>
    </w:p>
    <w:p w:rsidR="00513E25" w:rsidRPr="00E449DA" w:rsidRDefault="006F00BA" w:rsidP="006F00BA">
      <w:pPr>
        <w:spacing w:before="120" w:after="120"/>
        <w:ind w:firstLine="0"/>
        <w:rPr>
          <w:rFonts w:eastAsia="仿宋_GB2312"/>
          <w:szCs w:val="32"/>
        </w:rPr>
      </w:pPr>
      <w:r>
        <w:rPr>
          <w:rFonts w:eastAsia="仿宋_GB2312"/>
          <w:noProof/>
          <w:szCs w:val="32"/>
        </w:rPr>
        <w:lastRenderedPageBreak/>
        <w:drawing>
          <wp:inline distT="0" distB="0" distL="0" distR="0" wp14:anchorId="5840EC1C" wp14:editId="4DAEDB31">
            <wp:extent cx="5274310" cy="2289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289175"/>
                    </a:xfrm>
                    <a:prstGeom prst="rect">
                      <a:avLst/>
                    </a:prstGeom>
                  </pic:spPr>
                </pic:pic>
              </a:graphicData>
            </a:graphic>
          </wp:inline>
        </w:drawing>
      </w:r>
    </w:p>
    <w:p w:rsidR="00513E25" w:rsidRPr="00E449DA" w:rsidRDefault="00F24D40" w:rsidP="00913FA3">
      <w:pPr>
        <w:ind w:firstLine="0"/>
      </w:pPr>
      <w:r w:rsidRPr="00E449DA">
        <w:rPr>
          <w:rFonts w:hint="eastAsia"/>
        </w:rPr>
        <w:t>来源：</w:t>
      </w:r>
      <w:r w:rsidR="006F00BA">
        <w:rPr>
          <w:rFonts w:hint="eastAsia"/>
        </w:rPr>
        <w:t>World Bank Green Bond Sixth Annual Investor Update 2014</w:t>
      </w:r>
    </w:p>
    <w:p w:rsidR="00513E25" w:rsidRPr="00E449DA" w:rsidRDefault="00913FA3" w:rsidP="00913FA3">
      <w:pPr>
        <w:pStyle w:val="Heading3"/>
      </w:pPr>
      <w:r>
        <w:rPr>
          <w:rFonts w:hint="eastAsia"/>
        </w:rPr>
        <w:t>（二）</w:t>
      </w:r>
      <w:r w:rsidR="007B04CD" w:rsidRPr="00E449DA">
        <w:rPr>
          <w:rFonts w:hint="eastAsia"/>
        </w:rPr>
        <w:t>制定</w:t>
      </w:r>
      <w:r w:rsidR="00F24D40" w:rsidRPr="00E449DA">
        <w:rPr>
          <w:rFonts w:hint="eastAsia"/>
        </w:rPr>
        <w:t>管理环境和社会风险的指引</w:t>
      </w:r>
    </w:p>
    <w:p w:rsidR="00CF6A64" w:rsidRPr="00E449DA" w:rsidRDefault="00CF6A64" w:rsidP="00913FA3">
      <w:r w:rsidRPr="00E449DA">
        <w:rPr>
          <w:rFonts w:hint="eastAsia"/>
        </w:rPr>
        <w:t>环境和社会问题可能</w:t>
      </w:r>
      <w:r w:rsidR="009A4463">
        <w:rPr>
          <w:rFonts w:hint="eastAsia"/>
        </w:rPr>
        <w:t>会给</w:t>
      </w:r>
      <w:r w:rsidRPr="00E449DA">
        <w:rPr>
          <w:rFonts w:hint="eastAsia"/>
        </w:rPr>
        <w:t>投资</w:t>
      </w:r>
      <w:r w:rsidR="009A4463">
        <w:rPr>
          <w:rFonts w:hint="eastAsia"/>
        </w:rPr>
        <w:t>带来巨大</w:t>
      </w:r>
      <w:r w:rsidRPr="00E449DA">
        <w:rPr>
          <w:rFonts w:hint="eastAsia"/>
        </w:rPr>
        <w:t>风险。很多银行都通过创建自己的</w:t>
      </w:r>
      <w:r w:rsidR="00021800" w:rsidRPr="00E449DA">
        <w:rPr>
          <w:rFonts w:hint="eastAsia"/>
        </w:rPr>
        <w:t>环境和社会风险管理</w:t>
      </w:r>
      <w:r w:rsidRPr="00E449DA">
        <w:rPr>
          <w:rFonts w:hint="eastAsia"/>
        </w:rPr>
        <w:t>政策，为他们的行动提供指导。这些政策不仅促进了</w:t>
      </w:r>
      <w:r w:rsidR="00021800" w:rsidRPr="00E449DA">
        <w:rPr>
          <w:rFonts w:hint="eastAsia"/>
        </w:rPr>
        <w:t>绿色</w:t>
      </w:r>
      <w:r w:rsidRPr="00E449DA">
        <w:rPr>
          <w:rFonts w:hint="eastAsia"/>
        </w:rPr>
        <w:t>产业的</w:t>
      </w:r>
      <w:r w:rsidR="00021800" w:rsidRPr="00E449DA">
        <w:rPr>
          <w:rFonts w:hint="eastAsia"/>
        </w:rPr>
        <w:t>发展</w:t>
      </w:r>
      <w:r w:rsidRPr="00E449DA">
        <w:rPr>
          <w:rFonts w:hint="eastAsia"/>
        </w:rPr>
        <w:t>，降低</w:t>
      </w:r>
      <w:r w:rsidR="00021800" w:rsidRPr="00E449DA">
        <w:rPr>
          <w:rFonts w:hint="eastAsia"/>
        </w:rPr>
        <w:t>了投资</w:t>
      </w:r>
      <w:r w:rsidRPr="00E449DA">
        <w:rPr>
          <w:rFonts w:hint="eastAsia"/>
        </w:rPr>
        <w:t>风险</w:t>
      </w:r>
      <w:r w:rsidR="009A4463">
        <w:rPr>
          <w:rFonts w:hint="eastAsia"/>
        </w:rPr>
        <w:t>，</w:t>
      </w:r>
      <w:r w:rsidRPr="00E449DA">
        <w:rPr>
          <w:rFonts w:hint="eastAsia"/>
        </w:rPr>
        <w:t>也</w:t>
      </w:r>
      <w:r w:rsidR="00021800" w:rsidRPr="00E449DA">
        <w:rPr>
          <w:rFonts w:hint="eastAsia"/>
        </w:rPr>
        <w:t>向社会传递</w:t>
      </w:r>
      <w:r w:rsidR="00A641D2">
        <w:rPr>
          <w:rFonts w:hint="eastAsia"/>
        </w:rPr>
        <w:t>出银行</w:t>
      </w:r>
      <w:r w:rsidRPr="00E449DA">
        <w:rPr>
          <w:rFonts w:hint="eastAsia"/>
        </w:rPr>
        <w:t>致力于行业最佳实践</w:t>
      </w:r>
      <w:r w:rsidR="00021800" w:rsidRPr="00E449DA">
        <w:rPr>
          <w:rFonts w:hint="eastAsia"/>
        </w:rPr>
        <w:t>的承诺</w:t>
      </w:r>
      <w:r w:rsidRPr="00E449DA">
        <w:rPr>
          <w:rFonts w:hint="eastAsia"/>
        </w:rPr>
        <w:t>，从而</w:t>
      </w:r>
      <w:r w:rsidR="00021800" w:rsidRPr="00E449DA">
        <w:rPr>
          <w:rFonts w:hint="eastAsia"/>
        </w:rPr>
        <w:t>提高</w:t>
      </w:r>
      <w:r w:rsidR="00A641D2">
        <w:rPr>
          <w:rFonts w:hint="eastAsia"/>
        </w:rPr>
        <w:t>银行</w:t>
      </w:r>
      <w:r w:rsidR="00A641D2" w:rsidRPr="00E449DA">
        <w:rPr>
          <w:rFonts w:hint="eastAsia"/>
        </w:rPr>
        <w:t>在国际社会上</w:t>
      </w:r>
      <w:r w:rsidRPr="00E449DA">
        <w:rPr>
          <w:rFonts w:hint="eastAsia"/>
        </w:rPr>
        <w:t>的形象。</w:t>
      </w:r>
    </w:p>
    <w:p w:rsidR="00CF6A64" w:rsidRPr="00E449DA" w:rsidRDefault="00CF6A64" w:rsidP="00913FA3">
      <w:r w:rsidRPr="00E449DA">
        <w:rPr>
          <w:rFonts w:hint="eastAsia"/>
        </w:rPr>
        <w:t>一个精心</w:t>
      </w:r>
      <w:r w:rsidR="00481CD3" w:rsidRPr="00E449DA">
        <w:rPr>
          <w:rFonts w:hint="eastAsia"/>
        </w:rPr>
        <w:t>设计</w:t>
      </w:r>
      <w:r w:rsidRPr="00E449DA">
        <w:rPr>
          <w:rFonts w:hint="eastAsia"/>
        </w:rPr>
        <w:t>并</w:t>
      </w:r>
      <w:r w:rsidR="00B7606F">
        <w:rPr>
          <w:rFonts w:hint="eastAsia"/>
        </w:rPr>
        <w:t>得到</w:t>
      </w:r>
      <w:r w:rsidR="00481CD3" w:rsidRPr="00E449DA">
        <w:rPr>
          <w:rFonts w:hint="eastAsia"/>
        </w:rPr>
        <w:t>落实</w:t>
      </w:r>
      <w:r w:rsidRPr="00E449DA">
        <w:rPr>
          <w:rFonts w:hint="eastAsia"/>
        </w:rPr>
        <w:t>的</w:t>
      </w:r>
      <w:r w:rsidR="00481CD3" w:rsidRPr="00E449DA">
        <w:rPr>
          <w:rFonts w:hint="eastAsia"/>
        </w:rPr>
        <w:t>环境与社会风险管理</w:t>
      </w:r>
      <w:r w:rsidR="00B7606F">
        <w:rPr>
          <w:rFonts w:hint="eastAsia"/>
        </w:rPr>
        <w:t>体系可以</w:t>
      </w:r>
      <w:r w:rsidR="00481CD3" w:rsidRPr="00E449DA">
        <w:rPr>
          <w:rFonts w:hint="eastAsia"/>
        </w:rPr>
        <w:t>帮助银行</w:t>
      </w:r>
      <w:r w:rsidRPr="00E449DA">
        <w:rPr>
          <w:rFonts w:hint="eastAsia"/>
        </w:rPr>
        <w:t>降低政治</w:t>
      </w:r>
      <w:r w:rsidR="00481CD3" w:rsidRPr="00E449DA">
        <w:rPr>
          <w:rFonts w:hint="eastAsia"/>
        </w:rPr>
        <w:t>风险</w:t>
      </w:r>
      <w:r w:rsidR="00B7606F" w:rsidRPr="00E449DA">
        <w:rPr>
          <w:rFonts w:hint="eastAsia"/>
        </w:rPr>
        <w:t>和</w:t>
      </w:r>
      <w:r w:rsidRPr="00E449DA">
        <w:rPr>
          <w:rFonts w:hint="eastAsia"/>
        </w:rPr>
        <w:t>运营</w:t>
      </w:r>
      <w:r w:rsidR="00481CD3" w:rsidRPr="00E449DA">
        <w:rPr>
          <w:rFonts w:hint="eastAsia"/>
        </w:rPr>
        <w:t>风险。</w:t>
      </w:r>
      <w:r w:rsidR="00550531" w:rsidRPr="00E449DA">
        <w:rPr>
          <w:rFonts w:hint="eastAsia"/>
        </w:rPr>
        <w:t>完整的环境与社会风险管理体系</w:t>
      </w:r>
      <w:r w:rsidR="00B7606F">
        <w:rPr>
          <w:rFonts w:hint="eastAsia"/>
        </w:rPr>
        <w:t>还可以</w:t>
      </w:r>
      <w:r w:rsidR="00550531" w:rsidRPr="00E449DA">
        <w:rPr>
          <w:rFonts w:hint="eastAsia"/>
        </w:rPr>
        <w:t>为银行带来</w:t>
      </w:r>
      <w:r w:rsidRPr="00E449DA">
        <w:rPr>
          <w:rFonts w:hint="eastAsia"/>
        </w:rPr>
        <w:t>良好声誉</w:t>
      </w:r>
      <w:r w:rsidR="00550531" w:rsidRPr="00E449DA">
        <w:rPr>
          <w:rFonts w:hint="eastAsia"/>
        </w:rPr>
        <w:t>，</w:t>
      </w:r>
      <w:r w:rsidR="008A41C3" w:rsidRPr="00E449DA">
        <w:rPr>
          <w:rFonts w:hint="eastAsia"/>
        </w:rPr>
        <w:t>这样的银行</w:t>
      </w:r>
      <w:r w:rsidR="00550531" w:rsidRPr="00E449DA">
        <w:rPr>
          <w:rFonts w:hint="eastAsia"/>
        </w:rPr>
        <w:t>面临的</w:t>
      </w:r>
      <w:r w:rsidRPr="00E449DA">
        <w:rPr>
          <w:rFonts w:hint="eastAsia"/>
        </w:rPr>
        <w:t>经营限制</w:t>
      </w:r>
      <w:r w:rsidR="00550531" w:rsidRPr="00E449DA">
        <w:rPr>
          <w:rFonts w:hint="eastAsia"/>
        </w:rPr>
        <w:t>更</w:t>
      </w:r>
      <w:r w:rsidRPr="00E449DA">
        <w:rPr>
          <w:rFonts w:hint="eastAsia"/>
        </w:rPr>
        <w:t>少，并且被社会</w:t>
      </w:r>
      <w:r w:rsidR="008A41C3" w:rsidRPr="00E449DA">
        <w:rPr>
          <w:rFonts w:hint="eastAsia"/>
        </w:rPr>
        <w:t>广泛接受</w:t>
      </w:r>
      <w:r w:rsidRPr="00E449DA">
        <w:rPr>
          <w:rFonts w:hint="eastAsia"/>
        </w:rPr>
        <w:t>。</w:t>
      </w:r>
    </w:p>
    <w:p w:rsidR="00513E25" w:rsidRPr="00E449DA" w:rsidRDefault="00CF6A64" w:rsidP="00913FA3">
      <w:r w:rsidRPr="00913FA3">
        <w:rPr>
          <w:rFonts w:ascii="仿宋" w:hAnsi="仿宋" w:hint="eastAsia"/>
        </w:rPr>
        <w:t>例如</w:t>
      </w:r>
      <w:r w:rsidRPr="00913FA3">
        <w:rPr>
          <w:rFonts w:ascii="仿宋" w:hAnsi="仿宋"/>
        </w:rPr>
        <w:t>,</w:t>
      </w:r>
      <w:r w:rsidR="00F24D40" w:rsidRPr="00913FA3">
        <w:rPr>
          <w:rFonts w:ascii="仿宋" w:hAnsi="仿宋" w:hint="eastAsia"/>
        </w:rPr>
        <w:t>世界银行集团制定了《关于环境、健康和安全的标准》（World Bank Group Environmental， Health and Safety Guidelines），国际金融公司也制定了《环境和社会可持续</w:t>
      </w:r>
      <w:r w:rsidR="00F24D40" w:rsidRPr="00913FA3">
        <w:rPr>
          <w:rFonts w:ascii="仿宋" w:hAnsi="仿宋" w:hint="eastAsia"/>
        </w:rPr>
        <w:lastRenderedPageBreak/>
        <w:t>性绩效标准》（IFC Performance Standards on Environmental and Social Sustainability）。世界银行的标准由适用于所有行业的一般标准和适用于个别行业的行业标准构成</w:t>
      </w:r>
      <w:r w:rsidR="00F24D40" w:rsidRPr="00E449DA">
        <w:rPr>
          <w:rFonts w:hint="eastAsia"/>
        </w:rPr>
        <w:t>，涉及环保、职业健康与安全、社区健康与安全、工程施工、工程拆除等领域。国际金融公司的《绩效标准》涵盖以下八个方面：环境和社会风险与影响的评估和管理、劳工和工作条件、资源效率和污染防治、社区健康和安全及治安、土地征用和非自愿迁移、生物多样性保护和生物自然资源的可持续管理、土著居民以及文化遗产。</w:t>
      </w:r>
    </w:p>
    <w:p w:rsidR="00513E25" w:rsidRPr="00E449DA" w:rsidRDefault="00F24D40" w:rsidP="00913FA3">
      <w:r w:rsidRPr="00E449DA">
        <w:rPr>
          <w:rFonts w:hint="eastAsia"/>
        </w:rPr>
        <w:t>世界资源研究所在最近的一份报告</w:t>
      </w:r>
      <w:r w:rsidRPr="00E449DA">
        <w:rPr>
          <w:rFonts w:hint="eastAsia"/>
          <w:vertAlign w:val="superscript"/>
        </w:rPr>
        <w:footnoteReference w:id="9"/>
      </w:r>
      <w:r w:rsidRPr="00E449DA">
        <w:rPr>
          <w:rFonts w:hint="eastAsia"/>
        </w:rPr>
        <w:t>中评估了世界银行在项目实施过程中遵守可持续发展和治理政策的情况。在对世界银行</w:t>
      </w:r>
      <w:r w:rsidRPr="00E449DA">
        <w:rPr>
          <w:rFonts w:hint="eastAsia"/>
        </w:rPr>
        <w:t>2012</w:t>
      </w:r>
      <w:r w:rsidRPr="00E449DA">
        <w:rPr>
          <w:rFonts w:hint="eastAsia"/>
        </w:rPr>
        <w:t>年</w:t>
      </w:r>
      <w:r w:rsidRPr="00E449DA">
        <w:rPr>
          <w:rFonts w:hint="eastAsia"/>
        </w:rPr>
        <w:t>1</w:t>
      </w:r>
      <w:r w:rsidRPr="00E449DA">
        <w:rPr>
          <w:rFonts w:hint="eastAsia"/>
        </w:rPr>
        <w:t>月至</w:t>
      </w:r>
      <w:r w:rsidRPr="00E449DA">
        <w:rPr>
          <w:rFonts w:hint="eastAsia"/>
        </w:rPr>
        <w:t>2013</w:t>
      </w:r>
      <w:r w:rsidRPr="00E449DA">
        <w:rPr>
          <w:rFonts w:hint="eastAsia"/>
        </w:rPr>
        <w:t>年</w:t>
      </w:r>
      <w:r w:rsidRPr="00E449DA">
        <w:rPr>
          <w:rFonts w:hint="eastAsia"/>
        </w:rPr>
        <w:t>6</w:t>
      </w:r>
      <w:r w:rsidRPr="00E449DA">
        <w:rPr>
          <w:rFonts w:hint="eastAsia"/>
        </w:rPr>
        <w:t>月批准的</w:t>
      </w:r>
      <w:r w:rsidRPr="00E449DA">
        <w:rPr>
          <w:rFonts w:hint="eastAsia"/>
        </w:rPr>
        <w:t>60</w:t>
      </w:r>
      <w:r w:rsidRPr="00E449DA">
        <w:rPr>
          <w:rFonts w:hint="eastAsia"/>
        </w:rPr>
        <w:t>个项目进行评估中，</w:t>
      </w:r>
      <w:r w:rsidRPr="00E449DA">
        <w:rPr>
          <w:rFonts w:hint="eastAsia"/>
        </w:rPr>
        <w:t>WRI</w:t>
      </w:r>
      <w:r w:rsidRPr="00E449DA">
        <w:rPr>
          <w:rFonts w:hint="eastAsia"/>
        </w:rPr>
        <w:t>发现</w:t>
      </w:r>
      <w:r w:rsidRPr="00E449DA">
        <w:rPr>
          <w:rFonts w:hint="eastAsia"/>
        </w:rPr>
        <w:t>82%</w:t>
      </w:r>
      <w:r w:rsidRPr="00E449DA">
        <w:rPr>
          <w:rFonts w:hint="eastAsia"/>
        </w:rPr>
        <w:t>的项目考虑了环境和社会风险。但是，有</w:t>
      </w:r>
      <w:r w:rsidRPr="00E449DA">
        <w:rPr>
          <w:rFonts w:hint="eastAsia"/>
        </w:rPr>
        <w:t>75%</w:t>
      </w:r>
      <w:r w:rsidRPr="00E449DA">
        <w:rPr>
          <w:rFonts w:hint="eastAsia"/>
        </w:rPr>
        <w:t>的项目并没有考虑气候变化的风险，</w:t>
      </w:r>
      <w:r w:rsidRPr="00E449DA">
        <w:rPr>
          <w:rFonts w:hint="eastAsia"/>
        </w:rPr>
        <w:t>88%</w:t>
      </w:r>
      <w:r w:rsidRPr="00E449DA">
        <w:rPr>
          <w:rFonts w:hint="eastAsia"/>
        </w:rPr>
        <w:t>的项目没有考虑温室气体排放。可以看出，世界银行虽然有系统的环境和社会风险管理政策，但这些政策并不完备，还有很大的改善空间。尽管如此，这些标准在投资项目中的应用，已经大大促进了环境和社会风险管理。</w:t>
      </w:r>
    </w:p>
    <w:p w:rsidR="00513E25" w:rsidRPr="00E449DA" w:rsidRDefault="00913FA3" w:rsidP="00913FA3">
      <w:pPr>
        <w:pStyle w:val="Heading3"/>
      </w:pPr>
      <w:r>
        <w:rPr>
          <w:rFonts w:hint="eastAsia"/>
        </w:rPr>
        <w:lastRenderedPageBreak/>
        <w:t>（三）</w:t>
      </w:r>
      <w:r w:rsidR="00F24D40" w:rsidRPr="00E449DA">
        <w:rPr>
          <w:rFonts w:hint="eastAsia"/>
        </w:rPr>
        <w:t>将环境可持续发展作为核心业务</w:t>
      </w:r>
      <w:r w:rsidR="007B04CD" w:rsidRPr="00E449DA">
        <w:rPr>
          <w:rFonts w:hint="eastAsia"/>
        </w:rPr>
        <w:t>目标</w:t>
      </w:r>
    </w:p>
    <w:p w:rsidR="00513E25" w:rsidRPr="00E449DA" w:rsidRDefault="00F24D40" w:rsidP="00913FA3">
      <w:r w:rsidRPr="00E449DA">
        <w:rPr>
          <w:rFonts w:hint="eastAsia"/>
        </w:rPr>
        <w:t>亚洲开发银行在《</w:t>
      </w:r>
      <w:r w:rsidRPr="00E449DA">
        <w:rPr>
          <w:rFonts w:hint="eastAsia"/>
        </w:rPr>
        <w:t>2008-2020</w:t>
      </w:r>
      <w:r w:rsidRPr="00E449DA">
        <w:rPr>
          <w:rFonts w:hint="eastAsia"/>
        </w:rPr>
        <w:t>长期战略框架》中，将环境可持续发展作为战略议程之一，将环境（含气候变化）作为五大业务核心领域之一。亚行认为基础设施投资对实现环境可持续增长、区域一体化和减贫非常重要，并做了以下承诺：协助扩大能源供应规模；</w:t>
      </w:r>
      <w:r w:rsidR="006319AA" w:rsidRPr="00E449DA">
        <w:rPr>
          <w:rFonts w:hint="eastAsia"/>
        </w:rPr>
        <w:t>帮助</w:t>
      </w:r>
      <w:r w:rsidRPr="00E449DA">
        <w:rPr>
          <w:rFonts w:hint="eastAsia"/>
        </w:rPr>
        <w:t>供需双方提升能源效率；支持清洁能源；协助</w:t>
      </w:r>
      <w:r w:rsidR="006319AA" w:rsidRPr="00E449DA">
        <w:rPr>
          <w:rFonts w:hint="eastAsia"/>
        </w:rPr>
        <w:t>修定</w:t>
      </w:r>
      <w:r w:rsidR="002546AF" w:rsidRPr="00E449DA">
        <w:rPr>
          <w:rFonts w:hint="eastAsia"/>
        </w:rPr>
        <w:t>阻碍</w:t>
      </w:r>
      <w:r w:rsidRPr="00E449DA">
        <w:rPr>
          <w:rFonts w:hint="eastAsia"/>
        </w:rPr>
        <w:t>高效</w:t>
      </w:r>
      <w:r w:rsidR="006319AA" w:rsidRPr="00E449DA">
        <w:rPr>
          <w:rFonts w:hint="eastAsia"/>
        </w:rPr>
        <w:t>利用</w:t>
      </w:r>
      <w:r w:rsidRPr="00E449DA">
        <w:rPr>
          <w:rFonts w:hint="eastAsia"/>
        </w:rPr>
        <w:t>能源的政策、制度、法规、技术和法律。</w:t>
      </w:r>
    </w:p>
    <w:p w:rsidR="00513E25" w:rsidRPr="00E449DA" w:rsidRDefault="00F24D40" w:rsidP="00913FA3">
      <w:r w:rsidRPr="00E449DA">
        <w:rPr>
          <w:rFonts w:hint="eastAsia"/>
        </w:rPr>
        <w:t>环境和社会风险管理方面，亚行通过《保障政策声明》，详细描述了亚行的三项保障方面的政策，即《非自愿移民政策》、《原住民政策》和《环境保护政策》。亚行根据每个项目的类型、地点、规模和对环境可能产生影响将项目分成四类，为每一类都设置了不同的保障政策。</w:t>
      </w:r>
    </w:p>
    <w:p w:rsidR="00513E25" w:rsidRPr="00E449DA" w:rsidRDefault="00913FA3" w:rsidP="00913FA3">
      <w:pPr>
        <w:pStyle w:val="Heading3"/>
      </w:pPr>
      <w:r>
        <w:rPr>
          <w:rFonts w:hint="eastAsia"/>
        </w:rPr>
        <w:t>（四）</w:t>
      </w:r>
      <w:r w:rsidR="00F24D40" w:rsidRPr="00E449DA">
        <w:rPr>
          <w:rFonts w:hint="eastAsia"/>
        </w:rPr>
        <w:t>推广《赤道原则》</w:t>
      </w:r>
    </w:p>
    <w:p w:rsidR="00513E25" w:rsidRPr="00E449DA" w:rsidRDefault="00F24D40" w:rsidP="00913FA3">
      <w:r w:rsidRPr="00E449DA">
        <w:rPr>
          <w:rFonts w:hint="eastAsia"/>
        </w:rPr>
        <w:t>赤道原则（</w:t>
      </w:r>
      <w:r w:rsidRPr="00E449DA">
        <w:rPr>
          <w:rFonts w:hint="eastAsia"/>
        </w:rPr>
        <w:t>Equator Principles</w:t>
      </w:r>
      <w:r w:rsidRPr="00E449DA">
        <w:rPr>
          <w:rFonts w:hint="eastAsia"/>
        </w:rPr>
        <w:t>，</w:t>
      </w:r>
      <w:r w:rsidRPr="00E449DA">
        <w:rPr>
          <w:rFonts w:hint="eastAsia"/>
        </w:rPr>
        <w:t>EPs</w:t>
      </w:r>
      <w:r w:rsidRPr="00E449DA">
        <w:rPr>
          <w:rFonts w:hint="eastAsia"/>
        </w:rPr>
        <w:t>）是金融机构在识别、评估和管理项目融资中的社会和环境风险时自愿遵守的一套标准，被视作金融行业发展可持续项目融资的“黄金标准”。该原则基于上文提到的世界银行集团的《关于环境、健康和安全的标准》和国际金融公司的《环境和社会可持续性绩效标准》，旨在提供一个共同的基准和框架，帮助金融机构管理与项目融资有关的环境和社会风险。该原则由荷兰银行、</w:t>
      </w:r>
      <w:r w:rsidRPr="00E449DA">
        <w:rPr>
          <w:rFonts w:hint="eastAsia"/>
        </w:rPr>
        <w:lastRenderedPageBreak/>
        <w:t>巴克莱银行、西德意志州立银行和花旗银行于</w:t>
      </w:r>
      <w:r w:rsidRPr="00E449DA">
        <w:rPr>
          <w:rFonts w:hint="eastAsia"/>
        </w:rPr>
        <w:t>2002</w:t>
      </w:r>
      <w:r w:rsidRPr="00E449DA">
        <w:rPr>
          <w:rFonts w:hint="eastAsia"/>
        </w:rPr>
        <w:t>年发起。自发布以来，已得到来自</w:t>
      </w:r>
      <w:r w:rsidRPr="00E449DA">
        <w:rPr>
          <w:rFonts w:hint="eastAsia"/>
        </w:rPr>
        <w:t>34</w:t>
      </w:r>
      <w:r w:rsidRPr="00E449DA">
        <w:rPr>
          <w:rFonts w:hint="eastAsia"/>
        </w:rPr>
        <w:t>个国家的</w:t>
      </w:r>
      <w:r w:rsidRPr="00E449DA">
        <w:rPr>
          <w:rFonts w:hint="eastAsia"/>
        </w:rPr>
        <w:t>79</w:t>
      </w:r>
      <w:r w:rsidRPr="00E449DA">
        <w:rPr>
          <w:rFonts w:hint="eastAsia"/>
        </w:rPr>
        <w:t>家金融机构采纳，中国的兴业银行于</w:t>
      </w:r>
      <w:r w:rsidRPr="00E449DA">
        <w:rPr>
          <w:rFonts w:hint="eastAsia"/>
        </w:rPr>
        <w:t>2008</w:t>
      </w:r>
      <w:r w:rsidRPr="00E449DA">
        <w:rPr>
          <w:rFonts w:hint="eastAsia"/>
        </w:rPr>
        <w:t>年加入了赤道原则。这些银行覆盖了</w:t>
      </w:r>
      <w:r w:rsidRPr="00E449DA">
        <w:rPr>
          <w:rFonts w:hint="eastAsia"/>
        </w:rPr>
        <w:t>70%</w:t>
      </w:r>
      <w:r w:rsidRPr="00E449DA">
        <w:rPr>
          <w:rFonts w:hint="eastAsia"/>
        </w:rPr>
        <w:t>以上的新兴市场项目融资交易额。</w:t>
      </w:r>
    </w:p>
    <w:p w:rsidR="00513E25" w:rsidRPr="00E449DA" w:rsidRDefault="00F24D40" w:rsidP="00913FA3">
      <w:pPr>
        <w:pStyle w:val="Heading2"/>
      </w:pPr>
      <w:bookmarkStart w:id="10" w:name="_Toc29281"/>
      <w:bookmarkStart w:id="11" w:name="_Toc403484969"/>
      <w:bookmarkStart w:id="12" w:name="_Toc8074"/>
      <w:r w:rsidRPr="00E449DA">
        <w:rPr>
          <w:rFonts w:hint="eastAsia"/>
        </w:rPr>
        <w:t>三</w:t>
      </w:r>
      <w:r w:rsidR="00913FA3">
        <w:rPr>
          <w:rFonts w:hint="eastAsia"/>
        </w:rPr>
        <w:t>、</w:t>
      </w:r>
      <w:r w:rsidRPr="00E449DA">
        <w:rPr>
          <w:rFonts w:hint="eastAsia"/>
        </w:rPr>
        <w:t>关于推动“两行</w:t>
      </w:r>
      <w:r w:rsidR="006F6039" w:rsidRPr="00E449DA">
        <w:rPr>
          <w:rFonts w:hint="eastAsia"/>
        </w:rPr>
        <w:t>一金</w:t>
      </w:r>
      <w:r w:rsidRPr="00E449DA">
        <w:rPr>
          <w:rFonts w:hint="eastAsia"/>
        </w:rPr>
        <w:t>”开展绿色投资的建议</w:t>
      </w:r>
      <w:bookmarkEnd w:id="10"/>
      <w:bookmarkEnd w:id="11"/>
      <w:bookmarkEnd w:id="12"/>
    </w:p>
    <w:p w:rsidR="00513E25" w:rsidRPr="00E449DA" w:rsidRDefault="00F24D40" w:rsidP="00913FA3">
      <w:r w:rsidRPr="00E449DA">
        <w:rPr>
          <w:rFonts w:hint="eastAsia"/>
        </w:rPr>
        <w:t>为了使</w:t>
      </w:r>
      <w:r w:rsidR="006F6039" w:rsidRPr="00E449DA">
        <w:rPr>
          <w:rFonts w:hint="eastAsia"/>
        </w:rPr>
        <w:t>“两行一金”</w:t>
      </w:r>
      <w:r w:rsidRPr="00E449DA">
        <w:rPr>
          <w:rFonts w:hint="eastAsia"/>
        </w:rPr>
        <w:t>为节能环保和可持续发展作出最大贡献，我们提出以下建议：</w:t>
      </w:r>
    </w:p>
    <w:p w:rsidR="00513E25" w:rsidRPr="00E449DA" w:rsidRDefault="00913FA3" w:rsidP="00913FA3">
      <w:pPr>
        <w:pStyle w:val="Heading3"/>
      </w:pPr>
      <w:r>
        <w:rPr>
          <w:rFonts w:hint="eastAsia"/>
        </w:rPr>
        <w:t>（一）</w:t>
      </w:r>
      <w:r w:rsidR="00F24D40" w:rsidRPr="00E449DA">
        <w:rPr>
          <w:rFonts w:hint="eastAsia"/>
        </w:rPr>
        <w:t>发行绿色债券，引导民间资本为绿色转型服务</w:t>
      </w:r>
    </w:p>
    <w:p w:rsidR="00513E25" w:rsidRPr="00E449DA" w:rsidRDefault="00F24D40" w:rsidP="00913FA3">
      <w:r w:rsidRPr="00E449DA">
        <w:rPr>
          <w:rFonts w:hint="eastAsia"/>
        </w:rPr>
        <w:t>绿色债券作为一种成本较低、流动性较好而风险较低的投资工具，能够有效地提高绿色项目的融资可获得性，降低其融资成本，并为机构投资者和其他民间资本提供参与绿色投资的渠道。多边金融机构、政府和企业近年来发行绿色债券的实践证明，绿色债券拥有巨大的发展空间。</w:t>
      </w:r>
      <w:r w:rsidR="006F6039" w:rsidRPr="00E449DA">
        <w:rPr>
          <w:rFonts w:hint="eastAsia"/>
        </w:rPr>
        <w:t>“两行一金”</w:t>
      </w:r>
      <w:r w:rsidRPr="00E449DA">
        <w:rPr>
          <w:rFonts w:hint="eastAsia"/>
        </w:rPr>
        <w:t>可以借鉴世行、国际金融公司和亚行的经验，利用发行绿色债券来筹集绿色基础设施投资所需的部分资金。</w:t>
      </w:r>
    </w:p>
    <w:p w:rsidR="00513E25" w:rsidRPr="00E449DA" w:rsidRDefault="00913FA3" w:rsidP="00913FA3">
      <w:pPr>
        <w:pStyle w:val="Heading3"/>
      </w:pPr>
      <w:r>
        <w:rPr>
          <w:rFonts w:hint="eastAsia"/>
        </w:rPr>
        <w:t>（二）</w:t>
      </w:r>
      <w:r w:rsidR="00F24D40" w:rsidRPr="00E449DA">
        <w:rPr>
          <w:rFonts w:hint="eastAsia"/>
        </w:rPr>
        <w:t>用</w:t>
      </w:r>
      <w:r w:rsidR="00F24D40" w:rsidRPr="00E449DA">
        <w:rPr>
          <w:rFonts w:hint="eastAsia"/>
        </w:rPr>
        <w:t>PPP</w:t>
      </w:r>
      <w:r w:rsidR="00F24D40" w:rsidRPr="00E449DA">
        <w:rPr>
          <w:rFonts w:hint="eastAsia"/>
        </w:rPr>
        <w:t>等手段引导私营部门资金进入绿色投资</w:t>
      </w:r>
      <w:r w:rsidR="00F24D40" w:rsidRPr="00E449DA">
        <w:rPr>
          <w:rFonts w:hint="eastAsia"/>
        </w:rPr>
        <w:t xml:space="preserve"> </w:t>
      </w:r>
    </w:p>
    <w:p w:rsidR="00513E25" w:rsidRPr="00E449DA" w:rsidRDefault="00F24D40" w:rsidP="00913FA3">
      <w:r w:rsidRPr="00E449DA">
        <w:rPr>
          <w:rFonts w:hint="eastAsia"/>
        </w:rPr>
        <w:t>政府和社会合作模式（</w:t>
      </w:r>
      <w:r w:rsidRPr="00E449DA">
        <w:rPr>
          <w:rFonts w:hint="eastAsia"/>
        </w:rPr>
        <w:t>Public</w:t>
      </w:r>
      <w:r w:rsidRPr="00E449DA">
        <w:rPr>
          <w:rFonts w:hint="eastAsia"/>
        </w:rPr>
        <w:t>–</w:t>
      </w:r>
      <w:r w:rsidRPr="00E449DA">
        <w:rPr>
          <w:rFonts w:hint="eastAsia"/>
        </w:rPr>
        <w:t>Private Partnership</w:t>
      </w:r>
      <w:r w:rsidRPr="00E449DA">
        <w:rPr>
          <w:rFonts w:hint="eastAsia"/>
        </w:rPr>
        <w:t>，简称</w:t>
      </w:r>
      <w:r w:rsidRPr="00E449DA">
        <w:rPr>
          <w:rFonts w:hint="eastAsia"/>
        </w:rPr>
        <w:t>PPP</w:t>
      </w:r>
      <w:r w:rsidRPr="00E449DA">
        <w:rPr>
          <w:rFonts w:hint="eastAsia"/>
        </w:rPr>
        <w:t>）的优势在于政府可以通过与私营部门结成风险共担利益共享的伙伴关系为绿色基础设施项目筹集资金，可以充分发挥公共资金的杠杆作用来引导私营部门的投资。以</w:t>
      </w:r>
      <w:r w:rsidRPr="00E449DA">
        <w:rPr>
          <w:rFonts w:hint="eastAsia"/>
        </w:rPr>
        <w:t>PPP</w:t>
      </w:r>
      <w:r w:rsidRPr="00E449DA">
        <w:rPr>
          <w:rFonts w:hint="eastAsia"/>
        </w:rPr>
        <w:t>模</w:t>
      </w:r>
      <w:r w:rsidRPr="00E449DA">
        <w:rPr>
          <w:rFonts w:hint="eastAsia"/>
        </w:rPr>
        <w:lastRenderedPageBreak/>
        <w:t>式为绿色基础设施项目筹集资金在中国和其他国家有很多成功的案例，</w:t>
      </w:r>
      <w:r w:rsidR="00483B0E" w:rsidRPr="00E449DA">
        <w:rPr>
          <w:rFonts w:hint="eastAsia"/>
        </w:rPr>
        <w:t>“两行一金”</w:t>
      </w:r>
      <w:r w:rsidRPr="00E449DA">
        <w:rPr>
          <w:rFonts w:hint="eastAsia"/>
        </w:rPr>
        <w:t>应该借鉴这些经验，推广</w:t>
      </w:r>
      <w:r w:rsidRPr="00E449DA">
        <w:rPr>
          <w:rFonts w:hint="eastAsia"/>
        </w:rPr>
        <w:t>PPP</w:t>
      </w:r>
      <w:r w:rsidRPr="00E449DA">
        <w:rPr>
          <w:rFonts w:hint="eastAsia"/>
        </w:rPr>
        <w:t>模式的使用范围。</w:t>
      </w:r>
    </w:p>
    <w:p w:rsidR="00513E25" w:rsidRPr="00E449DA" w:rsidRDefault="00913FA3" w:rsidP="00913FA3">
      <w:pPr>
        <w:pStyle w:val="Heading3"/>
      </w:pPr>
      <w:r>
        <w:rPr>
          <w:rFonts w:hint="eastAsia"/>
        </w:rPr>
        <w:t>（三）</w:t>
      </w:r>
      <w:r w:rsidR="00F24D40" w:rsidRPr="00E449DA">
        <w:rPr>
          <w:rFonts w:hint="eastAsia"/>
        </w:rPr>
        <w:t>建立高度透明的环境披露机制，并明确贷款</w:t>
      </w:r>
      <w:r w:rsidR="00394959" w:rsidRPr="00E449DA">
        <w:rPr>
          <w:rFonts w:hint="eastAsia"/>
        </w:rPr>
        <w:t>和投资</w:t>
      </w:r>
      <w:r w:rsidR="00F24D40" w:rsidRPr="00E449DA">
        <w:rPr>
          <w:rFonts w:hint="eastAsia"/>
        </w:rPr>
        <w:t>中绿色环保项目占全部贷款</w:t>
      </w:r>
      <w:r w:rsidR="00394959" w:rsidRPr="00E449DA">
        <w:rPr>
          <w:rFonts w:hint="eastAsia"/>
        </w:rPr>
        <w:t>和投资</w:t>
      </w:r>
      <w:r w:rsidR="00F24D40" w:rsidRPr="00E449DA">
        <w:rPr>
          <w:rFonts w:hint="eastAsia"/>
        </w:rPr>
        <w:t>的最低比例</w:t>
      </w:r>
    </w:p>
    <w:p w:rsidR="00513E25" w:rsidRPr="00E449DA" w:rsidRDefault="00F24D40" w:rsidP="00E449DA">
      <w:pPr>
        <w:spacing w:before="120" w:after="120"/>
        <w:ind w:firstLineChars="200" w:firstLine="640"/>
        <w:rPr>
          <w:rFonts w:ascii="仿宋" w:hAnsi="仿宋" w:cs="仿宋"/>
          <w:szCs w:val="32"/>
        </w:rPr>
      </w:pPr>
      <w:r w:rsidRPr="00E449DA">
        <w:rPr>
          <w:rFonts w:ascii="仿宋" w:hAnsi="仿宋" w:cs="仿宋" w:hint="eastAsia"/>
          <w:szCs w:val="32"/>
        </w:rPr>
        <w:t>信息披露是增强金融机构和企业社会责任感，激励其避免污染性投资、加大绿色投资力度的有效措施。</w:t>
      </w:r>
      <w:r w:rsidR="00C07781" w:rsidRPr="00E449DA">
        <w:rPr>
          <w:rFonts w:ascii="仿宋" w:hAnsi="仿宋" w:cs="仿宋" w:hint="eastAsia"/>
          <w:szCs w:val="32"/>
        </w:rPr>
        <w:t>“两行一金”</w:t>
      </w:r>
      <w:r w:rsidRPr="00E449DA">
        <w:rPr>
          <w:rFonts w:ascii="仿宋" w:hAnsi="仿宋" w:cs="仿宋" w:hint="eastAsia"/>
          <w:szCs w:val="32"/>
        </w:rPr>
        <w:t>应该设立信息披露的高标准，不仅要求融资单位披露项目的环境和社会风险及为消除风险所采取的预防措施等，还要在</w:t>
      </w:r>
      <w:r w:rsidR="00C07781" w:rsidRPr="00E449DA">
        <w:rPr>
          <w:rFonts w:ascii="仿宋" w:hAnsi="仿宋" w:cs="仿宋" w:hint="eastAsia"/>
          <w:szCs w:val="32"/>
        </w:rPr>
        <w:t>机构</w:t>
      </w:r>
      <w:r w:rsidRPr="00E449DA">
        <w:rPr>
          <w:rFonts w:ascii="仿宋" w:hAnsi="仿宋" w:cs="仿宋" w:hint="eastAsia"/>
          <w:szCs w:val="32"/>
        </w:rPr>
        <w:t>内部设立绿色环保项目占全部贷款的最低比例并在年度报告中公开披露。</w:t>
      </w:r>
    </w:p>
    <w:p w:rsidR="00513E25" w:rsidRPr="00E449DA" w:rsidRDefault="00913FA3" w:rsidP="00913FA3">
      <w:pPr>
        <w:pStyle w:val="Heading3"/>
      </w:pPr>
      <w:r>
        <w:rPr>
          <w:rFonts w:hint="eastAsia"/>
        </w:rPr>
        <w:t>（四）</w:t>
      </w:r>
      <w:r w:rsidR="00F24D40" w:rsidRPr="00E449DA">
        <w:rPr>
          <w:rFonts w:hint="eastAsia"/>
        </w:rPr>
        <w:t>加入</w:t>
      </w:r>
      <w:r>
        <w:rPr>
          <w:rFonts w:hint="eastAsia"/>
        </w:rPr>
        <w:t>《</w:t>
      </w:r>
      <w:r w:rsidR="00F24D40" w:rsidRPr="00E449DA">
        <w:rPr>
          <w:rFonts w:hint="eastAsia"/>
        </w:rPr>
        <w:t>赤道原则</w:t>
      </w:r>
      <w:r>
        <w:rPr>
          <w:rFonts w:hint="eastAsia"/>
        </w:rPr>
        <w:t>》</w:t>
      </w:r>
      <w:r w:rsidR="00F24D40" w:rsidRPr="00E449DA">
        <w:rPr>
          <w:rFonts w:hint="eastAsia"/>
        </w:rPr>
        <w:t>，建立高标准的项目环境和社会风险评估体系</w:t>
      </w:r>
    </w:p>
    <w:p w:rsidR="00513E25" w:rsidRPr="00E449DA" w:rsidRDefault="00F24D40" w:rsidP="00913FA3">
      <w:r w:rsidRPr="00E449DA">
        <w:rPr>
          <w:rFonts w:hint="eastAsia"/>
        </w:rPr>
        <w:t>赤道原则是金融机构管理环境和社会风险的黄金标准，已经被全球</w:t>
      </w:r>
      <w:r w:rsidRPr="00E449DA">
        <w:rPr>
          <w:rFonts w:hint="eastAsia"/>
        </w:rPr>
        <w:t>80</w:t>
      </w:r>
      <w:r w:rsidRPr="00E449DA">
        <w:rPr>
          <w:rFonts w:hint="eastAsia"/>
        </w:rPr>
        <w:t>多家金融机构</w:t>
      </w:r>
      <w:r w:rsidR="00E268E8" w:rsidRPr="00E449DA">
        <w:rPr>
          <w:rFonts w:hint="eastAsia"/>
        </w:rPr>
        <w:t>采纳</w:t>
      </w:r>
      <w:r w:rsidR="00CF6A64" w:rsidRPr="00E449DA">
        <w:rPr>
          <w:rFonts w:hint="eastAsia"/>
        </w:rPr>
        <w:t>。</w:t>
      </w:r>
      <w:r w:rsidR="00A641D2" w:rsidRPr="00E449DA">
        <w:rPr>
          <w:rFonts w:hint="eastAsia"/>
        </w:rPr>
        <w:t xml:space="preserve"> </w:t>
      </w:r>
      <w:r w:rsidRPr="00E449DA">
        <w:rPr>
          <w:rFonts w:hint="eastAsia"/>
        </w:rPr>
        <w:t>“两行</w:t>
      </w:r>
      <w:r w:rsidR="00C07781" w:rsidRPr="00E449DA">
        <w:rPr>
          <w:rFonts w:hint="eastAsia"/>
        </w:rPr>
        <w:t>一金</w:t>
      </w:r>
      <w:r w:rsidRPr="00E449DA">
        <w:rPr>
          <w:rFonts w:hint="eastAsia"/>
        </w:rPr>
        <w:t>”</w:t>
      </w:r>
      <w:r w:rsidR="00C25CD0" w:rsidRPr="00E449DA">
        <w:rPr>
          <w:rFonts w:hint="eastAsia"/>
        </w:rPr>
        <w:t>应该</w:t>
      </w:r>
      <w:r w:rsidRPr="00E449DA">
        <w:rPr>
          <w:rFonts w:hint="eastAsia"/>
        </w:rPr>
        <w:t>考虑采用赤道原则的标准，积极主动地将环境和社会风险管理融入项目管理周期。不仅如此，“两行</w:t>
      </w:r>
      <w:r w:rsidR="00C07781" w:rsidRPr="00E449DA">
        <w:rPr>
          <w:rFonts w:hint="eastAsia"/>
        </w:rPr>
        <w:t>一金</w:t>
      </w:r>
      <w:r w:rsidRPr="00E449DA">
        <w:rPr>
          <w:rFonts w:hint="eastAsia"/>
        </w:rPr>
        <w:t>”还</w:t>
      </w:r>
      <w:r w:rsidR="00C07781" w:rsidRPr="00E449DA">
        <w:rPr>
          <w:rFonts w:hint="eastAsia"/>
        </w:rPr>
        <w:t>应该争取在三到五年内</w:t>
      </w:r>
      <w:r w:rsidRPr="00E449DA">
        <w:rPr>
          <w:rFonts w:hint="eastAsia"/>
        </w:rPr>
        <w:t>设立更高标准的环境和社会风险管理体系，成为环境和社会风险管理领域的楷模和全球领跑者。</w:t>
      </w:r>
    </w:p>
    <w:p w:rsidR="00D20BCE" w:rsidRPr="00E449DA" w:rsidRDefault="00913FA3" w:rsidP="00913FA3">
      <w:pPr>
        <w:pStyle w:val="Heading3"/>
      </w:pPr>
      <w:r>
        <w:rPr>
          <w:rFonts w:hint="eastAsia"/>
        </w:rPr>
        <w:lastRenderedPageBreak/>
        <w:t>（五）</w:t>
      </w:r>
      <w:r w:rsidR="00D20BCE" w:rsidRPr="00E449DA">
        <w:rPr>
          <w:rFonts w:hint="eastAsia"/>
        </w:rPr>
        <w:t>在海外投资中必须兼顾产能输出和接受国的可持续发展</w:t>
      </w:r>
    </w:p>
    <w:p w:rsidR="00D20BCE" w:rsidRPr="00E449DA" w:rsidRDefault="00D20BCE" w:rsidP="00E449DA">
      <w:pPr>
        <w:spacing w:before="120" w:after="120"/>
        <w:ind w:firstLineChars="200" w:firstLine="640"/>
        <w:rPr>
          <w:rFonts w:ascii="仿宋" w:hAnsi="仿宋" w:cs="仿宋"/>
          <w:szCs w:val="32"/>
        </w:rPr>
      </w:pPr>
      <w:r w:rsidRPr="00E449DA">
        <w:rPr>
          <w:rFonts w:ascii="仿宋" w:hAnsi="仿宋" w:cs="仿宋" w:hint="eastAsia"/>
          <w:szCs w:val="32"/>
        </w:rPr>
        <w:t>“两行一金”的设立和“一路一带”的提出对</w:t>
      </w:r>
      <w:r w:rsidR="00BA5614" w:rsidRPr="00E449DA">
        <w:rPr>
          <w:rFonts w:ascii="仿宋" w:hAnsi="仿宋" w:cs="仿宋" w:hint="eastAsia"/>
          <w:szCs w:val="32"/>
        </w:rPr>
        <w:t>中</w:t>
      </w:r>
      <w:r w:rsidRPr="00E449DA">
        <w:rPr>
          <w:rFonts w:ascii="仿宋" w:hAnsi="仿宋" w:cs="仿宋" w:hint="eastAsia"/>
          <w:szCs w:val="32"/>
        </w:rPr>
        <w:t>国产业界是利好消息，被广泛看作</w:t>
      </w:r>
      <w:r w:rsidR="00BA5614" w:rsidRPr="00E449DA">
        <w:rPr>
          <w:rFonts w:ascii="仿宋" w:hAnsi="仿宋" w:cs="仿宋" w:hint="eastAsia"/>
          <w:szCs w:val="32"/>
        </w:rPr>
        <w:t>中</w:t>
      </w:r>
      <w:r w:rsidRPr="00E449DA">
        <w:rPr>
          <w:rFonts w:ascii="仿宋" w:hAnsi="仿宋" w:cs="仿宋" w:hint="eastAsia"/>
          <w:szCs w:val="32"/>
        </w:rPr>
        <w:t>国过剩生产能力的新出路。毫无疑问，这些新机制将为</w:t>
      </w:r>
      <w:r w:rsidR="00BA5614" w:rsidRPr="00E449DA">
        <w:rPr>
          <w:rFonts w:ascii="仿宋" w:hAnsi="仿宋" w:cs="仿宋" w:hint="eastAsia"/>
          <w:szCs w:val="32"/>
        </w:rPr>
        <w:t>中</w:t>
      </w:r>
      <w:r w:rsidRPr="00E449DA">
        <w:rPr>
          <w:rFonts w:ascii="仿宋" w:hAnsi="仿宋" w:cs="仿宋" w:hint="eastAsia"/>
          <w:szCs w:val="32"/>
        </w:rPr>
        <w:t>国企业走出去提供便利，有利于国内经济增长和就业，也会加深国家间的经济融合，提升</w:t>
      </w:r>
      <w:r w:rsidR="00BA5614" w:rsidRPr="00E449DA">
        <w:rPr>
          <w:rFonts w:ascii="仿宋" w:hAnsi="仿宋" w:cs="仿宋" w:hint="eastAsia"/>
          <w:szCs w:val="32"/>
        </w:rPr>
        <w:t>中</w:t>
      </w:r>
      <w:r w:rsidRPr="00E449DA">
        <w:rPr>
          <w:rFonts w:ascii="仿宋" w:hAnsi="仿宋" w:cs="仿宋" w:hint="eastAsia"/>
          <w:szCs w:val="32"/>
        </w:rPr>
        <w:t>国长期发展的潜力和空间。但是，这些机制不应该成为</w:t>
      </w:r>
      <w:r w:rsidR="00BA5614" w:rsidRPr="00E449DA">
        <w:rPr>
          <w:rFonts w:ascii="仿宋" w:hAnsi="仿宋" w:cs="仿宋" w:hint="eastAsia"/>
          <w:szCs w:val="32"/>
        </w:rPr>
        <w:t>中</w:t>
      </w:r>
      <w:r w:rsidRPr="00E449DA">
        <w:rPr>
          <w:rFonts w:ascii="仿宋" w:hAnsi="仿宋" w:cs="仿宋" w:hint="eastAsia"/>
          <w:szCs w:val="32"/>
        </w:rPr>
        <w:t>国企业向亚洲发展中国家输出落后产能和垃圾产品的通道。</w:t>
      </w:r>
      <w:r w:rsidR="00BA5614" w:rsidRPr="00E449DA">
        <w:rPr>
          <w:rFonts w:ascii="仿宋" w:hAnsi="仿宋" w:cs="仿宋" w:hint="eastAsia"/>
          <w:szCs w:val="32"/>
        </w:rPr>
        <w:t>中</w:t>
      </w:r>
      <w:r w:rsidRPr="00E449DA">
        <w:rPr>
          <w:rFonts w:ascii="仿宋" w:hAnsi="仿宋" w:cs="仿宋" w:hint="eastAsia"/>
          <w:szCs w:val="32"/>
        </w:rPr>
        <w:t>国企业在向其它国家和地区投资和出口过程中必须注意保护国家的形象，顾及当地民生和长远发展，否则可能会产生不利于</w:t>
      </w:r>
      <w:r w:rsidR="00BA5614" w:rsidRPr="00E449DA">
        <w:rPr>
          <w:rFonts w:ascii="仿宋" w:hAnsi="仿宋" w:cs="仿宋" w:hint="eastAsia"/>
          <w:szCs w:val="32"/>
        </w:rPr>
        <w:t>中</w:t>
      </w:r>
      <w:r w:rsidRPr="00E449DA">
        <w:rPr>
          <w:rFonts w:ascii="仿宋" w:hAnsi="仿宋" w:cs="仿宋" w:hint="eastAsia"/>
          <w:szCs w:val="32"/>
        </w:rPr>
        <w:t>国与这些地区的双边关系的反弹。</w:t>
      </w:r>
    </w:p>
    <w:p w:rsidR="00513E25" w:rsidRPr="00913FA3" w:rsidRDefault="00913FA3" w:rsidP="00913FA3">
      <w:pPr>
        <w:pStyle w:val="Heading3"/>
        <w:rPr>
          <w:spacing w:val="-6"/>
        </w:rPr>
      </w:pPr>
      <w:r w:rsidRPr="00913FA3">
        <w:rPr>
          <w:rFonts w:hint="eastAsia"/>
          <w:spacing w:val="-6"/>
        </w:rPr>
        <w:t>（六）</w:t>
      </w:r>
      <w:r w:rsidR="00F24D40" w:rsidRPr="00913FA3">
        <w:rPr>
          <w:rFonts w:hint="eastAsia"/>
          <w:spacing w:val="-6"/>
        </w:rPr>
        <w:t>在采购和投资决策过程中充分考虑节能减排的要求</w:t>
      </w:r>
    </w:p>
    <w:p w:rsidR="00513E25" w:rsidRPr="00E449DA" w:rsidRDefault="00F24D40" w:rsidP="00913FA3">
      <w:r w:rsidRPr="00E449DA">
        <w:rPr>
          <w:rFonts w:hint="eastAsia"/>
        </w:rPr>
        <w:t>能源短缺和气候变化是世界面临的挑战，这在欠发达国家表现得尤为突出，因为欠发达国家缺乏雄厚的财力应对这些挑战。这就需要“两行</w:t>
      </w:r>
      <w:r w:rsidR="00C07781" w:rsidRPr="00E449DA">
        <w:rPr>
          <w:rFonts w:hint="eastAsia"/>
        </w:rPr>
        <w:t>一金</w:t>
      </w:r>
      <w:r w:rsidRPr="00E449DA">
        <w:rPr>
          <w:rFonts w:hint="eastAsia"/>
        </w:rPr>
        <w:t>”在基础设施建设中关注节能减排和低碳的要求。基础设施有较长的寿命，可以在很长时间内锁定温室气体排放，如果不在设计阶段关注低碳要求，设施建成后将很难改变高排放的状况。因此需要在设计、施工和运营中充分考虑气候变化的影响，这符合金砖国家和亚洲各国的长远发展利益。</w:t>
      </w:r>
      <w:r w:rsidR="00A641D2">
        <w:rPr>
          <w:rFonts w:ascii="仿宋" w:hAnsi="仿宋" w:cs="仿宋" w:hint="eastAsia"/>
          <w:sz w:val="28"/>
          <w:szCs w:val="28"/>
        </w:rPr>
        <w:t>政府采购与基础设施建设密切相关，运用得当不仅可以防止腐败、确保质量，而且能够在指导产业方向和促进绿色发展方面发挥作用。“两行一金”应该在政府采购中设定排放</w:t>
      </w:r>
      <w:r w:rsidR="00A641D2">
        <w:rPr>
          <w:rFonts w:ascii="仿宋" w:hAnsi="仿宋" w:cs="仿宋" w:hint="eastAsia"/>
          <w:sz w:val="28"/>
          <w:szCs w:val="28"/>
        </w:rPr>
        <w:lastRenderedPageBreak/>
        <w:t>要求，发挥这一机制在应对气候变化中的作用。</w:t>
      </w:r>
    </w:p>
    <w:sectPr w:rsidR="00513E25" w:rsidRPr="00E449DA">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34" w:rsidRDefault="00387734">
      <w:r>
        <w:separator/>
      </w:r>
    </w:p>
  </w:endnote>
  <w:endnote w:type="continuationSeparator" w:id="0">
    <w:p w:rsidR="00387734" w:rsidRDefault="0038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59" w:rsidRDefault="00394959">
    <w:pPr>
      <w:pStyle w:val="Footer"/>
      <w:ind w:firstLine="360"/>
      <w:jc w:val="center"/>
    </w:pPr>
    <w:r>
      <w:rPr>
        <w:noProof/>
      </w:rPr>
      <mc:AlternateContent>
        <mc:Choice Requires="wps">
          <w:drawing>
            <wp:anchor distT="0" distB="0" distL="114300" distR="114300" simplePos="0" relativeHeight="251658240" behindDoc="0" locked="0" layoutInCell="1" allowOverlap="1" wp14:anchorId="16A53A90" wp14:editId="5BC46480">
              <wp:simplePos x="0" y="0"/>
              <wp:positionH relativeFrom="margin">
                <wp:align>center</wp:align>
              </wp:positionH>
              <wp:positionV relativeFrom="paragraph">
                <wp:posOffset>0</wp:posOffset>
              </wp:positionV>
              <wp:extent cx="402590" cy="287655"/>
              <wp:effectExtent l="0" t="0" r="0" b="0"/>
              <wp:wrapNone/>
              <wp:docPr id="1"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959" w:rsidRDefault="00394959">
                          <w:pPr>
                            <w:pStyle w:val="Footer"/>
                            <w:ind w:firstLine="360"/>
                            <w:jc w:val="center"/>
                          </w:pPr>
                          <w:r>
                            <w:fldChar w:fldCharType="begin"/>
                          </w:r>
                          <w:r>
                            <w:instrText xml:space="preserve"> PAGE   \* MERGEFORMAT </w:instrText>
                          </w:r>
                          <w:r>
                            <w:fldChar w:fldCharType="separate"/>
                          </w:r>
                          <w:r w:rsidR="00C058E2">
                            <w:rPr>
                              <w:noProof/>
                            </w:rPr>
                            <w:t>6</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19" o:spid="_x0000_s1026" style="position:absolute;left:0;text-align:left;margin-left:0;margin-top:0;width:31.7pt;height:22.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" filled="f" stroked="f">
              <v:textbox style="mso-fit-shape-to-text:t" inset="0,0,0,0">
                <w:txbxContent>
                  <w:p w:rsidR="00394959" w:rsidRDefault="00394959">
                    <w:pPr>
                      <w:pStyle w:val="Footer"/>
                      <w:ind w:firstLine="360"/>
                      <w:jc w:val="center"/>
                    </w:pPr>
                    <w:r>
                      <w:fldChar w:fldCharType="begin"/>
                    </w:r>
                    <w:r>
                      <w:instrText xml:space="preserve"> PAGE   \* MERGEFORMAT </w:instrText>
                    </w:r>
                    <w:r>
                      <w:fldChar w:fldCharType="separate"/>
                    </w:r>
                    <w:r w:rsidR="00C058E2">
                      <w:rPr>
                        <w:noProof/>
                      </w:rPr>
                      <w:t>6</w:t>
                    </w:r>
                    <w:r>
                      <w:rPr>
                        <w:lang w:val="zh-CN"/>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34" w:rsidRDefault="00387734">
      <w:r>
        <w:separator/>
      </w:r>
    </w:p>
  </w:footnote>
  <w:footnote w:type="continuationSeparator" w:id="0">
    <w:p w:rsidR="00387734" w:rsidRDefault="00387734">
      <w:r>
        <w:continuationSeparator/>
      </w:r>
    </w:p>
  </w:footnote>
  <w:footnote w:id="1">
    <w:p w:rsidR="00A049D0" w:rsidRPr="00E449DA" w:rsidRDefault="00A049D0" w:rsidP="00A049D0">
      <w:pPr>
        <w:pStyle w:val="FootnoteText"/>
        <w:jc w:val="both"/>
        <w:rPr>
          <w:rFonts w:ascii="仿宋" w:hAnsi="仿宋"/>
          <w:sz w:val="22"/>
        </w:rPr>
      </w:pPr>
      <w:r w:rsidRPr="00E449DA">
        <w:rPr>
          <w:rStyle w:val="FootnoteReference"/>
          <w:rFonts w:ascii="仿宋" w:hAnsi="仿宋"/>
          <w:sz w:val="22"/>
        </w:rPr>
        <w:footnoteRef/>
      </w:r>
      <w:r w:rsidRPr="00E449DA">
        <w:rPr>
          <w:rFonts w:ascii="仿宋" w:hAnsi="仿宋" w:hint="eastAsia"/>
          <w:sz w:val="22"/>
        </w:rPr>
        <w:t>朱寿庆系世界资源研究所</w:t>
      </w:r>
      <w:r w:rsidR="00461F98">
        <w:rPr>
          <w:rFonts w:ascii="仿宋" w:hAnsi="仿宋"/>
          <w:sz w:val="22"/>
        </w:rPr>
        <w:t>(World Resources Institute)</w:t>
      </w:r>
      <w:r w:rsidRPr="00E449DA">
        <w:rPr>
          <w:rFonts w:ascii="仿宋" w:hAnsi="仿宋" w:hint="eastAsia"/>
          <w:sz w:val="22"/>
        </w:rPr>
        <w:t>高级研究员。作者鸣谢中国人民银行首席经济学家马骏博士</w:t>
      </w:r>
      <w:r w:rsidR="000F12CB">
        <w:rPr>
          <w:rFonts w:ascii="仿宋" w:hAnsi="仿宋" w:hint="eastAsia"/>
          <w:sz w:val="22"/>
        </w:rPr>
        <w:t>所提供的中肯建议，并感谢</w:t>
      </w:r>
      <w:r w:rsidRPr="00E449DA">
        <w:rPr>
          <w:rFonts w:ascii="仿宋" w:hAnsi="仿宋" w:hint="eastAsia"/>
          <w:sz w:val="22"/>
        </w:rPr>
        <w:t>世界资源研究所可持续金融</w:t>
      </w:r>
      <w:r w:rsidR="000F12CB">
        <w:rPr>
          <w:rFonts w:ascii="仿宋" w:hAnsi="仿宋" w:hint="eastAsia"/>
          <w:sz w:val="22"/>
        </w:rPr>
        <w:t>中心的</w:t>
      </w:r>
      <w:r w:rsidR="000F12CB">
        <w:rPr>
          <w:rFonts w:ascii="仿宋" w:hAnsi="仿宋"/>
          <w:sz w:val="22"/>
        </w:rPr>
        <w:t>Denise Leung</w:t>
      </w:r>
      <w:r w:rsidR="000F12CB">
        <w:rPr>
          <w:rFonts w:ascii="仿宋" w:hAnsi="仿宋" w:hint="eastAsia"/>
          <w:sz w:val="22"/>
        </w:rPr>
        <w:t>和周李焕提供的研究支持</w:t>
      </w:r>
      <w:r w:rsidRPr="00E449DA">
        <w:rPr>
          <w:rFonts w:ascii="仿宋" w:hAnsi="仿宋" w:hint="eastAsia"/>
          <w:sz w:val="22"/>
        </w:rPr>
        <w:t>。作者在此声明，本文仅表达作者的个人观点，不代表他们所任职的机构或他所咨询过的专家的意见。</w:t>
      </w:r>
    </w:p>
  </w:footnote>
  <w:footnote w:id="2">
    <w:p w:rsidR="00D9326B" w:rsidRPr="00E449DA" w:rsidRDefault="00D9326B" w:rsidP="00D9326B">
      <w:pPr>
        <w:pStyle w:val="FootnoteText"/>
        <w:wordWrap w:val="0"/>
        <w:rPr>
          <w:rFonts w:ascii="仿宋" w:hAnsi="仿宋"/>
          <w:sz w:val="22"/>
        </w:rPr>
      </w:pPr>
      <w:r w:rsidRPr="00E449DA">
        <w:rPr>
          <w:rStyle w:val="FootnoteReference"/>
          <w:rFonts w:ascii="仿宋" w:hAnsi="仿宋"/>
          <w:sz w:val="22"/>
        </w:rPr>
        <w:footnoteRef/>
      </w:r>
      <w:r w:rsidRPr="00E449DA">
        <w:rPr>
          <w:rFonts w:ascii="仿宋" w:hAnsi="仿宋"/>
          <w:sz w:val="22"/>
        </w:rPr>
        <w:t xml:space="preserve"> http://www.adbi.org/files/2013.09.04.cpp.wignaraja.asian.infrastructure.dev.way.forward.pdf</w:t>
      </w:r>
    </w:p>
  </w:footnote>
  <w:footnote w:id="3">
    <w:p w:rsidR="00394959" w:rsidRPr="00E449DA" w:rsidRDefault="00394959" w:rsidP="00913FA3">
      <w:pPr>
        <w:pStyle w:val="FootnoteText"/>
        <w:ind w:firstLine="0"/>
        <w:rPr>
          <w:rFonts w:ascii="仿宋" w:hAnsi="仿宋"/>
          <w:sz w:val="22"/>
        </w:rPr>
      </w:pPr>
      <w:r w:rsidRPr="00E449DA">
        <w:rPr>
          <w:rStyle w:val="FootnoteReference"/>
          <w:rFonts w:ascii="仿宋" w:hAnsi="仿宋"/>
          <w:sz w:val="22"/>
        </w:rPr>
        <w:footnoteRef/>
      </w:r>
      <w:r w:rsidR="00E449DA">
        <w:rPr>
          <w:rFonts w:ascii="仿宋" w:hAnsi="仿宋"/>
          <w:sz w:val="22"/>
        </w:rPr>
        <w:t xml:space="preserve"> WEF (2013).</w:t>
      </w:r>
      <w:r w:rsidRPr="00E449DA">
        <w:rPr>
          <w:rFonts w:ascii="仿宋" w:hAnsi="仿宋"/>
          <w:i/>
          <w:sz w:val="22"/>
        </w:rPr>
        <w:t>The Green Investment Report: the ways and means to unlock private finance for green growth</w:t>
      </w:r>
      <w:r w:rsidRPr="00E449DA">
        <w:rPr>
          <w:rFonts w:ascii="仿宋" w:hAnsi="仿宋"/>
          <w:sz w:val="22"/>
        </w:rPr>
        <w:t>. http://www3.weforum.org/docs/WEF_GreenInvestment_Report_2013.pdf</w:t>
      </w:r>
    </w:p>
  </w:footnote>
  <w:footnote w:id="4">
    <w:p w:rsidR="00394959" w:rsidRPr="00E449DA" w:rsidRDefault="00394959">
      <w:pPr>
        <w:pStyle w:val="FootnoteText"/>
        <w:rPr>
          <w:rFonts w:ascii="仿宋" w:hAnsi="仿宋"/>
          <w:sz w:val="22"/>
        </w:rPr>
      </w:pPr>
      <w:r w:rsidRPr="00E449DA">
        <w:rPr>
          <w:rStyle w:val="FootnoteReference"/>
          <w:rFonts w:ascii="仿宋" w:hAnsi="仿宋"/>
          <w:sz w:val="22"/>
        </w:rPr>
        <w:footnoteRef/>
      </w:r>
      <w:r w:rsidRPr="00E449DA">
        <w:rPr>
          <w:rFonts w:ascii="仿宋" w:hAnsi="仿宋"/>
          <w:sz w:val="22"/>
        </w:rPr>
        <w:t xml:space="preserve"> World Bank</w:t>
      </w:r>
      <w:r w:rsidRPr="00E449DA">
        <w:rPr>
          <w:rFonts w:ascii="仿宋" w:hAnsi="仿宋" w:hint="eastAsia"/>
          <w:sz w:val="22"/>
        </w:rPr>
        <w:t xml:space="preserve"> (</w:t>
      </w:r>
      <w:r w:rsidRPr="00E449DA">
        <w:rPr>
          <w:rFonts w:ascii="仿宋" w:hAnsi="仿宋"/>
          <w:sz w:val="22"/>
        </w:rPr>
        <w:t>2012</w:t>
      </w:r>
      <w:r w:rsidRPr="00E449DA">
        <w:rPr>
          <w:rFonts w:ascii="仿宋" w:hAnsi="仿宋" w:hint="eastAsia"/>
          <w:sz w:val="22"/>
        </w:rPr>
        <w:t>)</w:t>
      </w:r>
      <w:r w:rsidRPr="00E449DA">
        <w:rPr>
          <w:rFonts w:ascii="仿宋" w:hAnsi="仿宋"/>
          <w:sz w:val="22"/>
        </w:rPr>
        <w:t>.</w:t>
      </w:r>
      <w:r w:rsidRPr="00E449DA">
        <w:rPr>
          <w:rFonts w:ascii="仿宋" w:hAnsi="仿宋"/>
          <w:i/>
          <w:sz w:val="22"/>
        </w:rPr>
        <w:t>Green Infrastructure Finance: Framework Report</w:t>
      </w:r>
      <w:r w:rsidR="00E449DA">
        <w:rPr>
          <w:rFonts w:ascii="仿宋" w:hAnsi="仿宋" w:hint="eastAsia"/>
          <w:sz w:val="22"/>
        </w:rPr>
        <w:t>.</w:t>
      </w:r>
      <w:r w:rsidRPr="00E449DA">
        <w:rPr>
          <w:rFonts w:ascii="仿宋" w:hAnsi="仿宋"/>
          <w:sz w:val="22"/>
        </w:rPr>
        <w:t xml:space="preserve"> https://openknowledge.worldbank.org/handle/10986/9367 License: CC BY 3.0 IGO.</w:t>
      </w:r>
      <w:r w:rsidRPr="00E449DA">
        <w:rPr>
          <w:rFonts w:ascii="仿宋" w:hAnsi="仿宋" w:cs="仿宋" w:hint="eastAsia"/>
          <w:sz w:val="22"/>
        </w:rPr>
        <w:t>”</w:t>
      </w:r>
      <w:r w:rsidRPr="00E449DA">
        <w:rPr>
          <w:rFonts w:ascii="仿宋" w:hAnsi="仿宋" w:hint="eastAsia"/>
          <w:sz w:val="22"/>
        </w:rPr>
        <w:t xml:space="preserve"> </w:t>
      </w:r>
    </w:p>
  </w:footnote>
  <w:footnote w:id="5">
    <w:p w:rsidR="00394959" w:rsidRPr="00E449DA" w:rsidRDefault="00394959">
      <w:pPr>
        <w:pStyle w:val="FootnoteText"/>
        <w:rPr>
          <w:rFonts w:ascii="仿宋" w:hAnsi="仿宋"/>
          <w:sz w:val="22"/>
        </w:rPr>
      </w:pPr>
      <w:r w:rsidRPr="00E449DA">
        <w:rPr>
          <w:rStyle w:val="FootnoteReference"/>
          <w:rFonts w:ascii="仿宋" w:hAnsi="仿宋"/>
          <w:sz w:val="22"/>
        </w:rPr>
        <w:footnoteRef/>
      </w:r>
      <w:r w:rsidRPr="00E449DA">
        <w:rPr>
          <w:rFonts w:ascii="仿宋" w:hAnsi="仿宋"/>
          <w:sz w:val="22"/>
        </w:rPr>
        <w:t xml:space="preserve"> http://www.reuters.com/assets/print?aid=USKCN0ID08U20141024 </w:t>
      </w:r>
    </w:p>
  </w:footnote>
  <w:footnote w:id="6">
    <w:p w:rsidR="00394959" w:rsidRPr="00E449DA" w:rsidRDefault="00394959">
      <w:pPr>
        <w:pStyle w:val="FootnoteText"/>
        <w:rPr>
          <w:rFonts w:ascii="仿宋" w:hAnsi="仿宋"/>
          <w:sz w:val="22"/>
        </w:rPr>
      </w:pPr>
      <w:r w:rsidRPr="00E449DA">
        <w:rPr>
          <w:rStyle w:val="FootnoteReference"/>
          <w:rFonts w:ascii="仿宋" w:hAnsi="仿宋"/>
          <w:sz w:val="22"/>
        </w:rPr>
        <w:footnoteRef/>
      </w:r>
      <w:r w:rsidRPr="00E449DA">
        <w:rPr>
          <w:rFonts w:ascii="仿宋" w:hAnsi="仿宋"/>
          <w:sz w:val="22"/>
        </w:rPr>
        <w:t xml:space="preserve"> </w:t>
      </w:r>
      <w:proofErr w:type="gramStart"/>
      <w:r w:rsidRPr="00E449DA">
        <w:rPr>
          <w:rFonts w:ascii="仿宋" w:hAnsi="仿宋"/>
          <w:sz w:val="22"/>
        </w:rPr>
        <w:t>WRI</w:t>
      </w:r>
      <w:r w:rsidR="00E449DA">
        <w:rPr>
          <w:rFonts w:ascii="仿宋" w:hAnsi="仿宋"/>
          <w:sz w:val="22"/>
        </w:rPr>
        <w:t xml:space="preserve"> (2013).</w:t>
      </w:r>
      <w:proofErr w:type="gramEnd"/>
      <w:r w:rsidR="00E449DA">
        <w:rPr>
          <w:rFonts w:ascii="仿宋" w:hAnsi="仿宋" w:hint="eastAsia"/>
          <w:sz w:val="22"/>
        </w:rPr>
        <w:t xml:space="preserve"> </w:t>
      </w:r>
      <w:r w:rsidRPr="00E449DA">
        <w:rPr>
          <w:rFonts w:ascii="仿宋" w:hAnsi="仿宋"/>
          <w:sz w:val="22"/>
        </w:rPr>
        <w:t xml:space="preserve">《对外投资中的环境与社会影响案例研究：国际经验与教训》. 工作论文. 华盛顿：世界资源研究所. http://wri.org/publication/managing-environmental-impact-internationalexperience-and-lessons-in-risk-management-foroverseas-investments </w:t>
      </w:r>
    </w:p>
  </w:footnote>
  <w:footnote w:id="7">
    <w:p w:rsidR="00394959" w:rsidRPr="00E449DA" w:rsidRDefault="00394959">
      <w:pPr>
        <w:autoSpaceDE w:val="0"/>
        <w:autoSpaceDN w:val="0"/>
        <w:rPr>
          <w:rFonts w:ascii="仿宋" w:hAnsi="仿宋"/>
          <w:sz w:val="22"/>
        </w:rPr>
      </w:pPr>
      <w:r w:rsidRPr="00E449DA">
        <w:rPr>
          <w:rStyle w:val="FootnoteReference"/>
          <w:rFonts w:ascii="仿宋" w:hAnsi="仿宋"/>
          <w:sz w:val="22"/>
        </w:rPr>
        <w:footnoteRef/>
      </w:r>
      <w:r w:rsidRPr="00E449DA">
        <w:rPr>
          <w:rFonts w:ascii="仿宋" w:hAnsi="仿宋"/>
          <w:sz w:val="22"/>
        </w:rPr>
        <w:t xml:space="preserve"> </w:t>
      </w:r>
      <w:r w:rsidRPr="00E449DA">
        <w:rPr>
          <w:rFonts w:ascii="仿宋" w:hAnsi="仿宋" w:hint="eastAsia"/>
          <w:sz w:val="22"/>
        </w:rPr>
        <w:t xml:space="preserve">马骏、施娱、姚斌 (2014). 《绿色金融政策及在中国的运用》. 中国人民银行工作论文No.2014/7 </w:t>
      </w:r>
    </w:p>
  </w:footnote>
  <w:footnote w:id="8">
    <w:p w:rsidR="00394959" w:rsidRPr="00E449DA" w:rsidRDefault="00394959">
      <w:pPr>
        <w:pStyle w:val="FootnoteText"/>
        <w:rPr>
          <w:rFonts w:ascii="仿宋" w:hAnsi="仿宋"/>
          <w:sz w:val="22"/>
        </w:rPr>
      </w:pPr>
      <w:r w:rsidRPr="00E449DA">
        <w:rPr>
          <w:rStyle w:val="FootnoteReference"/>
          <w:rFonts w:ascii="仿宋" w:hAnsi="仿宋"/>
          <w:sz w:val="22"/>
        </w:rPr>
        <w:footnoteRef/>
      </w:r>
      <w:r w:rsidRPr="00E449DA">
        <w:rPr>
          <w:rFonts w:ascii="仿宋" w:hAnsi="仿宋"/>
          <w:sz w:val="22"/>
        </w:rPr>
        <w:t xml:space="preserve"> Kidney</w:t>
      </w:r>
      <w:r w:rsidRPr="00E449DA">
        <w:rPr>
          <w:rFonts w:ascii="仿宋" w:hAnsi="仿宋" w:hint="eastAsia"/>
          <w:sz w:val="22"/>
        </w:rPr>
        <w:t>，</w:t>
      </w:r>
      <w:r w:rsidRPr="00E449DA">
        <w:rPr>
          <w:rFonts w:ascii="仿宋" w:hAnsi="仿宋"/>
          <w:sz w:val="22"/>
        </w:rPr>
        <w:t xml:space="preserve"> S. &amp; Oliver</w:t>
      </w:r>
      <w:r w:rsidRPr="00E449DA">
        <w:rPr>
          <w:rFonts w:ascii="仿宋" w:hAnsi="仿宋" w:hint="eastAsia"/>
          <w:sz w:val="22"/>
        </w:rPr>
        <w:t>，</w:t>
      </w:r>
      <w:r w:rsidRPr="00E449DA">
        <w:rPr>
          <w:rFonts w:ascii="仿宋" w:hAnsi="仿宋"/>
          <w:sz w:val="22"/>
        </w:rPr>
        <w:t xml:space="preserve"> P. (2014). </w:t>
      </w:r>
      <w:r w:rsidRPr="00E449DA">
        <w:rPr>
          <w:rFonts w:ascii="仿宋" w:hAnsi="仿宋"/>
          <w:i/>
          <w:sz w:val="22"/>
        </w:rPr>
        <w:t>Growing a Green Bonds Market in China</w:t>
      </w:r>
      <w:r w:rsidRPr="00E449DA">
        <w:rPr>
          <w:rFonts w:ascii="仿宋" w:hAnsi="仿宋"/>
          <w:sz w:val="22"/>
        </w:rPr>
        <w:t xml:space="preserve">. Available at </w:t>
      </w:r>
      <w:r w:rsidR="00481CD3" w:rsidRPr="00E449DA">
        <w:rPr>
          <w:rFonts w:ascii="仿宋" w:hAnsi="仿宋"/>
          <w:sz w:val="22"/>
        </w:rPr>
        <w:t>www.climatebonds.net</w:t>
      </w:r>
      <w:r w:rsidRPr="00E449DA">
        <w:rPr>
          <w:rFonts w:ascii="仿宋" w:hAnsi="仿宋"/>
          <w:sz w:val="22"/>
        </w:rPr>
        <w:t xml:space="preserve"> </w:t>
      </w:r>
    </w:p>
  </w:footnote>
  <w:footnote w:id="9">
    <w:p w:rsidR="00394959" w:rsidRPr="00E449DA" w:rsidRDefault="00394959" w:rsidP="002D7176">
      <w:pPr>
        <w:pStyle w:val="FootnoteText"/>
        <w:rPr>
          <w:rFonts w:ascii="仿宋" w:hAnsi="仿宋"/>
          <w:sz w:val="22"/>
        </w:rPr>
      </w:pPr>
      <w:r w:rsidRPr="00E449DA">
        <w:rPr>
          <w:rStyle w:val="FootnoteReference"/>
          <w:rFonts w:ascii="仿宋" w:hAnsi="仿宋"/>
          <w:sz w:val="22"/>
        </w:rPr>
        <w:footnoteRef/>
      </w:r>
      <w:r w:rsidRPr="00E449DA">
        <w:rPr>
          <w:rFonts w:ascii="仿宋" w:hAnsi="仿宋"/>
          <w:sz w:val="22"/>
        </w:rPr>
        <w:t xml:space="preserve"> </w:t>
      </w:r>
      <w:proofErr w:type="gramStart"/>
      <w:r w:rsidRPr="00E449DA">
        <w:rPr>
          <w:rFonts w:ascii="仿宋" w:hAnsi="仿宋"/>
          <w:sz w:val="22"/>
        </w:rPr>
        <w:t>WRI (2014).</w:t>
      </w:r>
      <w:proofErr w:type="gramEnd"/>
      <w:r w:rsidRPr="00E449DA">
        <w:rPr>
          <w:rFonts w:ascii="仿宋" w:hAnsi="仿宋"/>
          <w:sz w:val="22"/>
        </w:rPr>
        <w:t xml:space="preserve"> </w:t>
      </w:r>
      <w:r w:rsidRPr="00E449DA">
        <w:rPr>
          <w:rFonts w:ascii="仿宋" w:hAnsi="仿宋"/>
          <w:i/>
          <w:sz w:val="22"/>
        </w:rPr>
        <w:t>Designed for the future? Assessing principles of sustainable development and governance in the World Bank’s project plants.</w:t>
      </w:r>
      <w:r w:rsidRPr="00E449DA">
        <w:rPr>
          <w:rFonts w:ascii="仿宋" w:hAnsi="仿宋"/>
          <w:sz w:val="22"/>
        </w:rPr>
        <w:t xml:space="preserve"> Washington</w:t>
      </w:r>
      <w:r w:rsidRPr="00E449DA">
        <w:rPr>
          <w:rFonts w:ascii="仿宋" w:hAnsi="仿宋" w:hint="eastAsia"/>
          <w:sz w:val="22"/>
        </w:rPr>
        <w:t>，</w:t>
      </w:r>
      <w:r w:rsidRPr="00E449DA">
        <w:rPr>
          <w:rFonts w:ascii="仿宋" w:hAnsi="仿宋"/>
          <w:sz w:val="22"/>
        </w:rPr>
        <w:t xml:space="preserve"> DC: World Resources Institute. Available at: </w:t>
      </w:r>
      <w:r w:rsidRPr="002D7176">
        <w:rPr>
          <w:rFonts w:ascii="仿宋" w:hAnsi="仿宋"/>
          <w:sz w:val="22"/>
        </w:rPr>
        <w:t>http://www.wri.org/sites/default/files/designed_for_the_future_world_bank.pdf</w:t>
      </w:r>
      <w:r w:rsidRPr="00E449DA">
        <w:rPr>
          <w:rFonts w:ascii="仿宋" w:hAnsi="仿宋" w:hint="eastAsia"/>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1059"/>
    <w:multiLevelType w:val="hybridMultilevel"/>
    <w:tmpl w:val="B2FA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800"/>
    <w:rsid w:val="00037F2B"/>
    <w:rsid w:val="00053DBD"/>
    <w:rsid w:val="00064EA5"/>
    <w:rsid w:val="00071C9A"/>
    <w:rsid w:val="00082626"/>
    <w:rsid w:val="000A07E9"/>
    <w:rsid w:val="000A3AC7"/>
    <w:rsid w:val="000D518D"/>
    <w:rsid w:val="000E43CE"/>
    <w:rsid w:val="000E6362"/>
    <w:rsid w:val="000E69B5"/>
    <w:rsid w:val="000E6EE3"/>
    <w:rsid w:val="000E77EC"/>
    <w:rsid w:val="000F12CB"/>
    <w:rsid w:val="00101EC9"/>
    <w:rsid w:val="00106BF2"/>
    <w:rsid w:val="001147F4"/>
    <w:rsid w:val="00121997"/>
    <w:rsid w:val="00125D3E"/>
    <w:rsid w:val="0013305C"/>
    <w:rsid w:val="00143BD3"/>
    <w:rsid w:val="00146737"/>
    <w:rsid w:val="00154EF3"/>
    <w:rsid w:val="00172A27"/>
    <w:rsid w:val="001855D2"/>
    <w:rsid w:val="00185ACE"/>
    <w:rsid w:val="00195A18"/>
    <w:rsid w:val="001B6791"/>
    <w:rsid w:val="001B6D97"/>
    <w:rsid w:val="001C0062"/>
    <w:rsid w:val="001C0213"/>
    <w:rsid w:val="001D6639"/>
    <w:rsid w:val="001E18FC"/>
    <w:rsid w:val="001E6A3D"/>
    <w:rsid w:val="001F7FA3"/>
    <w:rsid w:val="00200202"/>
    <w:rsid w:val="00203CD5"/>
    <w:rsid w:val="00220077"/>
    <w:rsid w:val="00222916"/>
    <w:rsid w:val="00235647"/>
    <w:rsid w:val="002441D0"/>
    <w:rsid w:val="00245EFE"/>
    <w:rsid w:val="002546AF"/>
    <w:rsid w:val="00255626"/>
    <w:rsid w:val="0026441A"/>
    <w:rsid w:val="00272B4B"/>
    <w:rsid w:val="00277B3F"/>
    <w:rsid w:val="00281FA2"/>
    <w:rsid w:val="00284B0A"/>
    <w:rsid w:val="002C0CAC"/>
    <w:rsid w:val="002D6725"/>
    <w:rsid w:val="002D7176"/>
    <w:rsid w:val="002E7203"/>
    <w:rsid w:val="00316CA8"/>
    <w:rsid w:val="00324E1D"/>
    <w:rsid w:val="00324E95"/>
    <w:rsid w:val="003421D2"/>
    <w:rsid w:val="00352F53"/>
    <w:rsid w:val="00364C3C"/>
    <w:rsid w:val="0038676C"/>
    <w:rsid w:val="00387734"/>
    <w:rsid w:val="00394959"/>
    <w:rsid w:val="003B02F3"/>
    <w:rsid w:val="003C695C"/>
    <w:rsid w:val="003E2300"/>
    <w:rsid w:val="004010D4"/>
    <w:rsid w:val="0042305B"/>
    <w:rsid w:val="00435213"/>
    <w:rsid w:val="00436AC0"/>
    <w:rsid w:val="004536C0"/>
    <w:rsid w:val="0045443E"/>
    <w:rsid w:val="00461F98"/>
    <w:rsid w:val="00465AFD"/>
    <w:rsid w:val="00467BC1"/>
    <w:rsid w:val="00467C8D"/>
    <w:rsid w:val="00481CD3"/>
    <w:rsid w:val="00483B0E"/>
    <w:rsid w:val="00487D69"/>
    <w:rsid w:val="004B36CE"/>
    <w:rsid w:val="004C2EBE"/>
    <w:rsid w:val="004F5032"/>
    <w:rsid w:val="005032D1"/>
    <w:rsid w:val="00513E25"/>
    <w:rsid w:val="00537F8C"/>
    <w:rsid w:val="00550531"/>
    <w:rsid w:val="00550B8E"/>
    <w:rsid w:val="005552CB"/>
    <w:rsid w:val="00563FED"/>
    <w:rsid w:val="00580271"/>
    <w:rsid w:val="00580A28"/>
    <w:rsid w:val="00584D8E"/>
    <w:rsid w:val="00596888"/>
    <w:rsid w:val="005B16AC"/>
    <w:rsid w:val="005E0803"/>
    <w:rsid w:val="006319AA"/>
    <w:rsid w:val="00651122"/>
    <w:rsid w:val="006658CB"/>
    <w:rsid w:val="00674A9D"/>
    <w:rsid w:val="0068092B"/>
    <w:rsid w:val="0069259D"/>
    <w:rsid w:val="0069290D"/>
    <w:rsid w:val="006A4496"/>
    <w:rsid w:val="006A4FEE"/>
    <w:rsid w:val="006B589B"/>
    <w:rsid w:val="006D5F4E"/>
    <w:rsid w:val="006E64B2"/>
    <w:rsid w:val="006F00BA"/>
    <w:rsid w:val="006F3ADD"/>
    <w:rsid w:val="006F6039"/>
    <w:rsid w:val="007248F3"/>
    <w:rsid w:val="0079486A"/>
    <w:rsid w:val="007A4C70"/>
    <w:rsid w:val="007B04CD"/>
    <w:rsid w:val="007B37E9"/>
    <w:rsid w:val="007D1F35"/>
    <w:rsid w:val="007E356D"/>
    <w:rsid w:val="007E406E"/>
    <w:rsid w:val="007F7CAE"/>
    <w:rsid w:val="007F7F78"/>
    <w:rsid w:val="008051A8"/>
    <w:rsid w:val="00807199"/>
    <w:rsid w:val="008106E5"/>
    <w:rsid w:val="00813768"/>
    <w:rsid w:val="00815B3E"/>
    <w:rsid w:val="0083188A"/>
    <w:rsid w:val="008339D3"/>
    <w:rsid w:val="008518DE"/>
    <w:rsid w:val="0085197C"/>
    <w:rsid w:val="00854DEA"/>
    <w:rsid w:val="00866FB8"/>
    <w:rsid w:val="008741A4"/>
    <w:rsid w:val="00895357"/>
    <w:rsid w:val="008A41C3"/>
    <w:rsid w:val="008B3790"/>
    <w:rsid w:val="008B7AE0"/>
    <w:rsid w:val="008C533C"/>
    <w:rsid w:val="008C60C2"/>
    <w:rsid w:val="008D4A45"/>
    <w:rsid w:val="008E2464"/>
    <w:rsid w:val="008E26B1"/>
    <w:rsid w:val="008F557C"/>
    <w:rsid w:val="00906C90"/>
    <w:rsid w:val="00913FA3"/>
    <w:rsid w:val="009207EE"/>
    <w:rsid w:val="009376E2"/>
    <w:rsid w:val="00946889"/>
    <w:rsid w:val="00967870"/>
    <w:rsid w:val="0097242E"/>
    <w:rsid w:val="00974CC4"/>
    <w:rsid w:val="00982275"/>
    <w:rsid w:val="0098571A"/>
    <w:rsid w:val="009A2CAF"/>
    <w:rsid w:val="009A4463"/>
    <w:rsid w:val="009A57E3"/>
    <w:rsid w:val="009C02F1"/>
    <w:rsid w:val="009E1D9B"/>
    <w:rsid w:val="009F58EA"/>
    <w:rsid w:val="00A0064D"/>
    <w:rsid w:val="00A049D0"/>
    <w:rsid w:val="00A42F29"/>
    <w:rsid w:val="00A44A6C"/>
    <w:rsid w:val="00A6126E"/>
    <w:rsid w:val="00A641D2"/>
    <w:rsid w:val="00A816B3"/>
    <w:rsid w:val="00A947DA"/>
    <w:rsid w:val="00A95C2F"/>
    <w:rsid w:val="00AA773B"/>
    <w:rsid w:val="00AB1685"/>
    <w:rsid w:val="00AB270C"/>
    <w:rsid w:val="00AD0220"/>
    <w:rsid w:val="00AD240E"/>
    <w:rsid w:val="00AD2692"/>
    <w:rsid w:val="00AD29B5"/>
    <w:rsid w:val="00AE359F"/>
    <w:rsid w:val="00AF0286"/>
    <w:rsid w:val="00AF17C8"/>
    <w:rsid w:val="00AF484E"/>
    <w:rsid w:val="00B31CE4"/>
    <w:rsid w:val="00B41348"/>
    <w:rsid w:val="00B71AAD"/>
    <w:rsid w:val="00B7606F"/>
    <w:rsid w:val="00B943FA"/>
    <w:rsid w:val="00B9662A"/>
    <w:rsid w:val="00BA1823"/>
    <w:rsid w:val="00BA5614"/>
    <w:rsid w:val="00BA68AB"/>
    <w:rsid w:val="00BB495C"/>
    <w:rsid w:val="00BC3C35"/>
    <w:rsid w:val="00BC73CE"/>
    <w:rsid w:val="00BE775E"/>
    <w:rsid w:val="00C058E2"/>
    <w:rsid w:val="00C07781"/>
    <w:rsid w:val="00C207D6"/>
    <w:rsid w:val="00C25CD0"/>
    <w:rsid w:val="00C45D46"/>
    <w:rsid w:val="00C741AD"/>
    <w:rsid w:val="00C756B2"/>
    <w:rsid w:val="00C771A9"/>
    <w:rsid w:val="00C853BF"/>
    <w:rsid w:val="00C97163"/>
    <w:rsid w:val="00CC65D8"/>
    <w:rsid w:val="00CD67D8"/>
    <w:rsid w:val="00CE1167"/>
    <w:rsid w:val="00CE1C5F"/>
    <w:rsid w:val="00CE7FEB"/>
    <w:rsid w:val="00CF2B8D"/>
    <w:rsid w:val="00CF6A64"/>
    <w:rsid w:val="00D20BCE"/>
    <w:rsid w:val="00D220D6"/>
    <w:rsid w:val="00D23E55"/>
    <w:rsid w:val="00D3561D"/>
    <w:rsid w:val="00D3610E"/>
    <w:rsid w:val="00D52858"/>
    <w:rsid w:val="00D57B31"/>
    <w:rsid w:val="00D7263A"/>
    <w:rsid w:val="00D772D2"/>
    <w:rsid w:val="00D8270A"/>
    <w:rsid w:val="00D9326B"/>
    <w:rsid w:val="00DB1B78"/>
    <w:rsid w:val="00DB3A62"/>
    <w:rsid w:val="00DC554E"/>
    <w:rsid w:val="00DC7252"/>
    <w:rsid w:val="00DD1328"/>
    <w:rsid w:val="00DE13E9"/>
    <w:rsid w:val="00E268E8"/>
    <w:rsid w:val="00E405F1"/>
    <w:rsid w:val="00E449DA"/>
    <w:rsid w:val="00E46D2D"/>
    <w:rsid w:val="00E52355"/>
    <w:rsid w:val="00E641A1"/>
    <w:rsid w:val="00E64D53"/>
    <w:rsid w:val="00E72E44"/>
    <w:rsid w:val="00EA2396"/>
    <w:rsid w:val="00EB37FA"/>
    <w:rsid w:val="00EB7D08"/>
    <w:rsid w:val="00EC5BF5"/>
    <w:rsid w:val="00EF2FAE"/>
    <w:rsid w:val="00EF5B90"/>
    <w:rsid w:val="00F04990"/>
    <w:rsid w:val="00F16848"/>
    <w:rsid w:val="00F22B72"/>
    <w:rsid w:val="00F24D40"/>
    <w:rsid w:val="00F50E29"/>
    <w:rsid w:val="00F64791"/>
    <w:rsid w:val="00F65C1B"/>
    <w:rsid w:val="00F67C8A"/>
    <w:rsid w:val="00F75937"/>
    <w:rsid w:val="00F82AB1"/>
    <w:rsid w:val="00F95C26"/>
    <w:rsid w:val="00FA4FD1"/>
    <w:rsid w:val="00FC35FB"/>
    <w:rsid w:val="00FD41B1"/>
    <w:rsid w:val="00FE5D4E"/>
    <w:rsid w:val="00FF2D3D"/>
    <w:rsid w:val="0BCF1A6D"/>
    <w:rsid w:val="0E7D16D6"/>
    <w:rsid w:val="117A1FB8"/>
    <w:rsid w:val="165E3DC0"/>
    <w:rsid w:val="16E72391"/>
    <w:rsid w:val="17333F18"/>
    <w:rsid w:val="18656713"/>
    <w:rsid w:val="1D5368AC"/>
    <w:rsid w:val="1E4C6AC4"/>
    <w:rsid w:val="1F9E2259"/>
    <w:rsid w:val="2C394AD1"/>
    <w:rsid w:val="2E703700"/>
    <w:rsid w:val="2F5F3244"/>
    <w:rsid w:val="31A015E0"/>
    <w:rsid w:val="409C790E"/>
    <w:rsid w:val="451C7473"/>
    <w:rsid w:val="4B226DD3"/>
    <w:rsid w:val="4FA871BC"/>
    <w:rsid w:val="512B18B7"/>
    <w:rsid w:val="54147669"/>
    <w:rsid w:val="55BB16B6"/>
    <w:rsid w:val="55EF7F47"/>
    <w:rsid w:val="59965209"/>
    <w:rsid w:val="60710045"/>
    <w:rsid w:val="611543D6"/>
    <w:rsid w:val="62E123C8"/>
    <w:rsid w:val="64194C80"/>
    <w:rsid w:val="65C2387A"/>
    <w:rsid w:val="66693F13"/>
    <w:rsid w:val="6E20323A"/>
    <w:rsid w:val="7EAB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nhideWhenUsed="0"/>
    <w:lsdException w:name="annotation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lsdException w:name="Placeholder Text" w:uiPriority="99"/>
    <w:lsdException w:name="No Spacing" w:uiPriority="99"/>
    <w:lsdException w:name="Revision" w:uiPriority="99"/>
    <w:lsdException w:name="List Paragraph" w:uiPriority="34" w:qFormat="1"/>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98"/>
    <w:pPr>
      <w:widowControl w:val="0"/>
      <w:ind w:firstLine="619"/>
      <w:jc w:val="both"/>
    </w:pPr>
    <w:rPr>
      <w:rFonts w:eastAsia="仿宋" w:cs="黑体"/>
      <w:color w:val="000000" w:themeColor="text1"/>
      <w:kern w:val="2"/>
      <w:sz w:val="32"/>
      <w:szCs w:val="22"/>
    </w:rPr>
  </w:style>
  <w:style w:type="paragraph" w:styleId="Heading1">
    <w:name w:val="heading 1"/>
    <w:basedOn w:val="Normal"/>
    <w:next w:val="Normal"/>
    <w:link w:val="Heading1Char"/>
    <w:qFormat/>
    <w:pPr>
      <w:keepNext/>
      <w:keepLines/>
      <w:widowControl/>
      <w:spacing w:before="480"/>
      <w:jc w:val="left"/>
      <w:outlineLvl w:val="0"/>
    </w:pPr>
    <w:rPr>
      <w:rFonts w:ascii="Cambria" w:eastAsia="Times New Roman" w:hAnsi="Cambria" w:cs="Times New Roman"/>
      <w:b/>
      <w:color w:val="365F91"/>
      <w:kern w:val="0"/>
      <w:sz w:val="28"/>
      <w:szCs w:val="20"/>
    </w:rPr>
  </w:style>
  <w:style w:type="paragraph" w:styleId="Heading2">
    <w:name w:val="heading 2"/>
    <w:basedOn w:val="Normal"/>
    <w:next w:val="Normal"/>
    <w:link w:val="Heading2Char"/>
    <w:uiPriority w:val="9"/>
    <w:unhideWhenUsed/>
    <w:qFormat/>
    <w:rsid w:val="00BA68AB"/>
    <w:pPr>
      <w:keepNext/>
      <w:keepLines/>
      <w:spacing w:before="260" w:after="260" w:line="416" w:lineRule="auto"/>
      <w:jc w:val="center"/>
      <w:outlineLvl w:val="1"/>
    </w:pPr>
    <w:rPr>
      <w:rFonts w:ascii="Cambria" w:eastAsia="黑体" w:hAnsi="Cambria"/>
      <w:bCs/>
      <w:sz w:val="36"/>
      <w:szCs w:val="32"/>
    </w:rPr>
  </w:style>
  <w:style w:type="paragraph" w:styleId="Heading3">
    <w:name w:val="heading 3"/>
    <w:basedOn w:val="Normal"/>
    <w:next w:val="Normal"/>
    <w:link w:val="Heading3Char"/>
    <w:uiPriority w:val="9"/>
    <w:unhideWhenUsed/>
    <w:qFormat/>
    <w:rsid w:val="00913FA3"/>
    <w:pPr>
      <w:keepNext/>
      <w:keepLines/>
      <w:spacing w:before="120" w:after="120"/>
      <w:jc w:val="left"/>
      <w:outlineLvl w:val="2"/>
    </w:pPr>
    <w:rPr>
      <w:rFonts w:eastAsia="黑体"/>
      <w:bCs/>
      <w:szCs w:val="32"/>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pPr>
      <w:ind w:leftChars="1200" w:left="2520"/>
    </w:pPr>
  </w:style>
  <w:style w:type="paragraph" w:styleId="DocumentMap">
    <w:name w:val="Document Map"/>
    <w:basedOn w:val="Normal"/>
    <w:link w:val="DocumentMapChar"/>
    <w:uiPriority w:val="99"/>
    <w:unhideWhenUsed/>
    <w:rPr>
      <w:rFonts w:ascii="宋体"/>
      <w:sz w:val="18"/>
      <w:szCs w:val="18"/>
    </w:rPr>
  </w:style>
  <w:style w:type="paragraph" w:styleId="CommentText">
    <w:name w:val="annotation text"/>
    <w:basedOn w:val="Normal"/>
    <w:link w:val="CommentTextChar"/>
    <w:pPr>
      <w:widowControl/>
      <w:jc w:val="left"/>
    </w:pPr>
    <w:rPr>
      <w:rFonts w:cs="Times New Roman"/>
      <w:kern w:val="0"/>
      <w:sz w:val="22"/>
    </w:rPr>
  </w:style>
  <w:style w:type="paragraph" w:styleId="TOC5">
    <w:name w:val="toc 5"/>
    <w:basedOn w:val="Normal"/>
    <w:next w:val="Normal"/>
    <w:uiPriority w:val="39"/>
    <w:unhideWhenUsed/>
    <w:pPr>
      <w:ind w:leftChars="800" w:left="1680"/>
    </w:pPr>
  </w:style>
  <w:style w:type="paragraph" w:styleId="TOC3">
    <w:name w:val="toc 3"/>
    <w:basedOn w:val="Normal"/>
    <w:next w:val="Normal"/>
    <w:uiPriority w:val="39"/>
    <w:unhideWhenUsed/>
    <w:pPr>
      <w:ind w:leftChars="400" w:left="840"/>
    </w:pPr>
  </w:style>
  <w:style w:type="paragraph" w:styleId="TOC8">
    <w:name w:val="toc 8"/>
    <w:basedOn w:val="Normal"/>
    <w:next w:val="Normal"/>
    <w:uiPriority w:val="39"/>
    <w:unhideWhenUsed/>
    <w:pPr>
      <w:ind w:leftChars="1400" w:left="2940"/>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style>
  <w:style w:type="paragraph" w:styleId="TOC4">
    <w:name w:val="toc 4"/>
    <w:basedOn w:val="Normal"/>
    <w:next w:val="Normal"/>
    <w:uiPriority w:val="39"/>
    <w:unhideWhenUsed/>
    <w:pPr>
      <w:ind w:leftChars="600" w:left="1260"/>
    </w:pPr>
  </w:style>
  <w:style w:type="paragraph" w:styleId="FootnoteText">
    <w:name w:val="footnote text"/>
    <w:basedOn w:val="Normal"/>
    <w:link w:val="FootnoteTextChar"/>
    <w:pPr>
      <w:widowControl/>
      <w:jc w:val="left"/>
    </w:pPr>
    <w:rPr>
      <w:sz w:val="20"/>
    </w:rPr>
  </w:style>
  <w:style w:type="paragraph" w:styleId="TOC6">
    <w:name w:val="toc 6"/>
    <w:basedOn w:val="Normal"/>
    <w:next w:val="Normal"/>
    <w:uiPriority w:val="39"/>
    <w:unhideWhenUsed/>
    <w:pPr>
      <w:ind w:leftChars="1000" w:left="2100"/>
    </w:pPr>
  </w:style>
  <w:style w:type="paragraph" w:styleId="TOC2">
    <w:name w:val="toc 2"/>
    <w:basedOn w:val="Normal"/>
    <w:next w:val="Normal"/>
    <w:uiPriority w:val="39"/>
    <w:unhideWhenUsed/>
    <w:pPr>
      <w:ind w:leftChars="200" w:left="420"/>
    </w:pPr>
  </w:style>
  <w:style w:type="paragraph" w:styleId="TOC9">
    <w:name w:val="toc 9"/>
    <w:basedOn w:val="Normal"/>
    <w:next w:val="Normal"/>
    <w:uiPriority w:val="39"/>
    <w:unhideWhenUsed/>
    <w:pPr>
      <w:ind w:leftChars="1600" w:left="3360"/>
    </w:p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unhideWhenUsed/>
    <w:rPr>
      <w:color w:val="0000FF"/>
      <w:u w:val="single"/>
    </w:rPr>
  </w:style>
  <w:style w:type="character" w:styleId="CommentReference">
    <w:name w:val="annotation reference"/>
    <w:rPr>
      <w:sz w:val="21"/>
      <w:szCs w:val="21"/>
    </w:rPr>
  </w:style>
  <w:style w:type="character" w:styleId="FootnoteReference">
    <w:name w:val="footnote reference"/>
    <w:rPr>
      <w:rFonts w:cs="Times New Roman"/>
      <w:vertAlign w:val="superscript"/>
    </w:rPr>
  </w:style>
  <w:style w:type="table" w:styleId="TableGrid">
    <w:name w:val="Table Grid"/>
    <w:basedOn w:val="TableNormal"/>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uiPriority w:val="99"/>
    <w:rPr>
      <w:rFonts w:cs="Times New Roman"/>
    </w:rPr>
  </w:style>
  <w:style w:type="paragraph" w:customStyle="1" w:styleId="ListParagraph1">
    <w:name w:val="List Paragraph1"/>
    <w:basedOn w:val="Normal"/>
    <w:uiPriority w:val="34"/>
    <w:qFormat/>
    <w:pPr>
      <w:ind w:firstLineChars="200" w:firstLine="420"/>
    </w:pPr>
  </w:style>
  <w:style w:type="paragraph" w:customStyle="1" w:styleId="Char">
    <w:name w:val="Char"/>
    <w:basedOn w:val="Normal"/>
    <w:rPr>
      <w:rFonts w:cs="Times New Roman"/>
      <w:szCs w:val="24"/>
    </w:rPr>
  </w:style>
  <w:style w:type="paragraph" w:customStyle="1" w:styleId="TOCHeading1">
    <w:name w:val="TOC Heading1"/>
    <w:basedOn w:val="Heading1"/>
    <w:next w:val="Normal"/>
    <w:uiPriority w:val="39"/>
    <w:unhideWhenUsed/>
    <w:qFormat/>
    <w:pPr>
      <w:outlineLvl w:val="9"/>
    </w:pPr>
    <w:rPr>
      <w:rFonts w:eastAsia="宋体" w:cs="黑体"/>
      <w:bCs/>
      <w:color w:val="365F90"/>
      <w:szCs w:val="28"/>
      <w:lang w:eastAsia="ja-JP"/>
    </w:rPr>
  </w:style>
  <w:style w:type="paragraph" w:customStyle="1" w:styleId="CharChar2CharChar1">
    <w:name w:val="Char Char2 Char Char1"/>
    <w:basedOn w:val="Normal"/>
    <w:rPr>
      <w:rFonts w:cs="Times New Roman"/>
      <w:szCs w:val="20"/>
    </w:rPr>
  </w:style>
  <w:style w:type="paragraph" w:customStyle="1" w:styleId="Style26">
    <w:name w:val="_Style 26"/>
    <w:basedOn w:val="Normal"/>
    <w:uiPriority w:val="34"/>
    <w:qFormat/>
    <w:pPr>
      <w:ind w:firstLineChars="200" w:firstLine="420"/>
    </w:pPr>
  </w:style>
  <w:style w:type="character" w:customStyle="1" w:styleId="HeaderChar">
    <w:name w:val="Header Char"/>
    <w:basedOn w:val="DefaultParagraphFont"/>
    <w:link w:val="Header"/>
    <w:uiPriority w:val="99"/>
    <w:semiHidden/>
    <w:rPr>
      <w:sz w:val="18"/>
      <w:szCs w:val="18"/>
    </w:rPr>
  </w:style>
  <w:style w:type="character" w:customStyle="1" w:styleId="FooterChar">
    <w:name w:val="Footer Char"/>
    <w:basedOn w:val="DefaultParagraphFont"/>
    <w:link w:val="Footer"/>
    <w:uiPriority w:val="99"/>
    <w:rPr>
      <w:sz w:val="18"/>
      <w:szCs w:val="18"/>
    </w:rPr>
  </w:style>
  <w:style w:type="character" w:customStyle="1" w:styleId="1Char">
    <w:name w:val="标题 1 Char"/>
    <w:basedOn w:val="DefaultParagraphFont"/>
    <w:rPr>
      <w:rFonts w:ascii="Cambria" w:eastAsia="Times New Roman" w:hAnsi="Cambria" w:cs="Times New Roman"/>
      <w:b/>
      <w:color w:val="365F91"/>
      <w:kern w:val="0"/>
      <w:sz w:val="28"/>
      <w:szCs w:val="20"/>
    </w:rPr>
  </w:style>
  <w:style w:type="character" w:customStyle="1" w:styleId="FootnoteTextChar">
    <w:name w:val="Footnote Text Char"/>
    <w:link w:val="FootnoteText"/>
    <w:rPr>
      <w:sz w:val="20"/>
    </w:rPr>
  </w:style>
  <w:style w:type="character" w:customStyle="1" w:styleId="Char1">
    <w:name w:val="脚注文本 Char1"/>
    <w:basedOn w:val="DefaultParagraphFont"/>
    <w:uiPriority w:val="99"/>
    <w:semiHidden/>
    <w:rPr>
      <w:sz w:val="18"/>
      <w:szCs w:val="18"/>
    </w:rPr>
  </w:style>
  <w:style w:type="character" w:customStyle="1" w:styleId="CommentTextChar">
    <w:name w:val="Comment Text Char"/>
    <w:basedOn w:val="DefaultParagraphFont"/>
    <w:link w:val="CommentText"/>
    <w:rPr>
      <w:rFonts w:ascii="Calibri" w:eastAsia="宋体" w:hAnsi="Calibri" w:cs="Times New Roman"/>
      <w:kern w:val="0"/>
      <w:sz w:val="22"/>
    </w:rPr>
  </w:style>
  <w:style w:type="character" w:customStyle="1" w:styleId="BalloonTextChar">
    <w:name w:val="Balloon Text Char"/>
    <w:basedOn w:val="DefaultParagraphFont"/>
    <w:link w:val="BalloonText"/>
    <w:uiPriority w:val="99"/>
    <w:semiHidden/>
    <w:rPr>
      <w:sz w:val="18"/>
      <w:szCs w:val="18"/>
    </w:rPr>
  </w:style>
  <w:style w:type="character" w:customStyle="1" w:styleId="Heading2Char">
    <w:name w:val="Heading 2 Char"/>
    <w:basedOn w:val="DefaultParagraphFont"/>
    <w:link w:val="Heading2"/>
    <w:uiPriority w:val="9"/>
    <w:rsid w:val="00BA68AB"/>
    <w:rPr>
      <w:rFonts w:ascii="Cambria" w:eastAsia="黑体" w:hAnsi="Cambria" w:cs="黑体"/>
      <w:bCs/>
      <w:color w:val="000000" w:themeColor="text1"/>
      <w:kern w:val="2"/>
      <w:sz w:val="36"/>
      <w:szCs w:val="32"/>
    </w:rPr>
  </w:style>
  <w:style w:type="character" w:customStyle="1" w:styleId="Heading3Char">
    <w:name w:val="Heading 3 Char"/>
    <w:basedOn w:val="DefaultParagraphFont"/>
    <w:link w:val="Heading3"/>
    <w:uiPriority w:val="9"/>
    <w:rsid w:val="00913FA3"/>
    <w:rPr>
      <w:rFonts w:eastAsia="黑体" w:cs="黑体"/>
      <w:bCs/>
      <w:color w:val="000000" w:themeColor="text1"/>
      <w:kern w:val="2"/>
      <w:sz w:val="32"/>
      <w:szCs w:val="32"/>
    </w:rPr>
  </w:style>
  <w:style w:type="character" w:customStyle="1" w:styleId="Heading4Char">
    <w:name w:val="Heading 4 Char"/>
    <w:basedOn w:val="DefaultParagraphFont"/>
    <w:link w:val="Heading4"/>
    <w:uiPriority w:val="9"/>
    <w:semiHidden/>
    <w:rPr>
      <w:rFonts w:ascii="Cambria" w:eastAsia="宋体" w:hAnsi="Cambria" w:cs="黑体"/>
      <w:b/>
      <w:bCs/>
      <w:sz w:val="28"/>
      <w:szCs w:val="28"/>
    </w:rPr>
  </w:style>
  <w:style w:type="character" w:customStyle="1" w:styleId="DocumentMapChar">
    <w:name w:val="Document Map Char"/>
    <w:basedOn w:val="DefaultParagraphFont"/>
    <w:link w:val="DocumentMap"/>
    <w:uiPriority w:val="99"/>
    <w:semiHidden/>
    <w:rPr>
      <w:rFonts w:ascii="宋体" w:eastAsia="宋体"/>
      <w:sz w:val="18"/>
      <w:szCs w:val="18"/>
    </w:rPr>
  </w:style>
  <w:style w:type="character" w:customStyle="1" w:styleId="font01">
    <w:name w:val="font01"/>
    <w:basedOn w:val="DefaultParagraphFont"/>
    <w:rPr>
      <w:rFonts w:ascii="宋体" w:eastAsia="宋体" w:hAnsi="宋体" w:cs="宋体" w:hint="eastAsia"/>
      <w:color w:val="000000"/>
      <w:sz w:val="24"/>
      <w:szCs w:val="24"/>
      <w:u w:val="none"/>
    </w:rPr>
  </w:style>
  <w:style w:type="character" w:customStyle="1" w:styleId="apple-style-span">
    <w:name w:val="apple-style-span"/>
    <w:basedOn w:val="DefaultParagraphFont"/>
  </w:style>
  <w:style w:type="character" w:customStyle="1" w:styleId="Heading1Char">
    <w:name w:val="Heading 1 Char"/>
    <w:link w:val="Heading1"/>
    <w:rPr>
      <w:rFonts w:ascii="Cambria" w:eastAsia="宋体" w:hAnsi="Cambria" w:hint="default"/>
      <w:b/>
      <w:kern w:val="32"/>
      <w:sz w:val="32"/>
    </w:rPr>
  </w:style>
  <w:style w:type="paragraph" w:styleId="CommentSubject">
    <w:name w:val="annotation subject"/>
    <w:basedOn w:val="CommentText"/>
    <w:next w:val="CommentText"/>
    <w:link w:val="CommentSubjectChar"/>
    <w:semiHidden/>
    <w:unhideWhenUsed/>
    <w:rsid w:val="00550B8E"/>
    <w:pPr>
      <w:widowControl w:val="0"/>
      <w:jc w:val="both"/>
    </w:pPr>
    <w:rPr>
      <w:rFonts w:cs="黑体"/>
      <w:b/>
      <w:bCs/>
      <w:kern w:val="2"/>
      <w:sz w:val="20"/>
      <w:szCs w:val="20"/>
    </w:rPr>
  </w:style>
  <w:style w:type="character" w:customStyle="1" w:styleId="CommentSubjectChar">
    <w:name w:val="Comment Subject Char"/>
    <w:basedOn w:val="CommentTextChar"/>
    <w:link w:val="CommentSubject"/>
    <w:semiHidden/>
    <w:rsid w:val="00550B8E"/>
    <w:rPr>
      <w:rFonts w:ascii="Calibri" w:eastAsia="宋体" w:hAnsi="Calibri" w:cs="黑体"/>
      <w:b/>
      <w:bCs/>
      <w:kern w:val="2"/>
      <w:sz w:val="22"/>
    </w:rPr>
  </w:style>
  <w:style w:type="paragraph" w:styleId="ListParagraph">
    <w:name w:val="List Paragraph"/>
    <w:basedOn w:val="Normal"/>
    <w:uiPriority w:val="34"/>
    <w:qFormat/>
    <w:rsid w:val="00550B8E"/>
    <w:pPr>
      <w:widowControl/>
      <w:ind w:left="720"/>
    </w:pPr>
    <w:rPr>
      <w:rFonts w:cs="宋体"/>
      <w:kern w:val="0"/>
      <w:szCs w:val="21"/>
    </w:rPr>
  </w:style>
  <w:style w:type="paragraph" w:styleId="Revision">
    <w:name w:val="Revision"/>
    <w:hidden/>
    <w:uiPriority w:val="99"/>
    <w:unhideWhenUsed/>
    <w:rsid w:val="00D52858"/>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nhideWhenUsed="0"/>
    <w:lsdException w:name="annotation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lsdException w:name="Placeholder Text" w:uiPriority="99"/>
    <w:lsdException w:name="No Spacing" w:uiPriority="99"/>
    <w:lsdException w:name="Revision" w:uiPriority="99"/>
    <w:lsdException w:name="List Paragraph" w:uiPriority="34" w:qFormat="1"/>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98"/>
    <w:pPr>
      <w:widowControl w:val="0"/>
      <w:ind w:firstLine="619"/>
      <w:jc w:val="both"/>
    </w:pPr>
    <w:rPr>
      <w:rFonts w:eastAsia="仿宋" w:cs="黑体"/>
      <w:color w:val="000000" w:themeColor="text1"/>
      <w:kern w:val="2"/>
      <w:sz w:val="32"/>
      <w:szCs w:val="22"/>
    </w:rPr>
  </w:style>
  <w:style w:type="paragraph" w:styleId="Heading1">
    <w:name w:val="heading 1"/>
    <w:basedOn w:val="Normal"/>
    <w:next w:val="Normal"/>
    <w:link w:val="Heading1Char"/>
    <w:qFormat/>
    <w:pPr>
      <w:keepNext/>
      <w:keepLines/>
      <w:widowControl/>
      <w:spacing w:before="480"/>
      <w:jc w:val="left"/>
      <w:outlineLvl w:val="0"/>
    </w:pPr>
    <w:rPr>
      <w:rFonts w:ascii="Cambria" w:eastAsia="Times New Roman" w:hAnsi="Cambria" w:cs="Times New Roman"/>
      <w:b/>
      <w:color w:val="365F91"/>
      <w:kern w:val="0"/>
      <w:sz w:val="28"/>
      <w:szCs w:val="20"/>
    </w:rPr>
  </w:style>
  <w:style w:type="paragraph" w:styleId="Heading2">
    <w:name w:val="heading 2"/>
    <w:basedOn w:val="Normal"/>
    <w:next w:val="Normal"/>
    <w:link w:val="Heading2Char"/>
    <w:uiPriority w:val="9"/>
    <w:unhideWhenUsed/>
    <w:qFormat/>
    <w:rsid w:val="00BA68AB"/>
    <w:pPr>
      <w:keepNext/>
      <w:keepLines/>
      <w:spacing w:before="260" w:after="260" w:line="416" w:lineRule="auto"/>
      <w:jc w:val="center"/>
      <w:outlineLvl w:val="1"/>
    </w:pPr>
    <w:rPr>
      <w:rFonts w:ascii="Cambria" w:eastAsia="黑体" w:hAnsi="Cambria"/>
      <w:bCs/>
      <w:sz w:val="36"/>
      <w:szCs w:val="32"/>
    </w:rPr>
  </w:style>
  <w:style w:type="paragraph" w:styleId="Heading3">
    <w:name w:val="heading 3"/>
    <w:basedOn w:val="Normal"/>
    <w:next w:val="Normal"/>
    <w:link w:val="Heading3Char"/>
    <w:uiPriority w:val="9"/>
    <w:unhideWhenUsed/>
    <w:qFormat/>
    <w:rsid w:val="00913FA3"/>
    <w:pPr>
      <w:keepNext/>
      <w:keepLines/>
      <w:spacing w:before="120" w:after="120"/>
      <w:jc w:val="left"/>
      <w:outlineLvl w:val="2"/>
    </w:pPr>
    <w:rPr>
      <w:rFonts w:eastAsia="黑体"/>
      <w:bCs/>
      <w:szCs w:val="32"/>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pPr>
      <w:ind w:leftChars="1200" w:left="2520"/>
    </w:pPr>
  </w:style>
  <w:style w:type="paragraph" w:styleId="DocumentMap">
    <w:name w:val="Document Map"/>
    <w:basedOn w:val="Normal"/>
    <w:link w:val="DocumentMapChar"/>
    <w:uiPriority w:val="99"/>
    <w:unhideWhenUsed/>
    <w:rPr>
      <w:rFonts w:ascii="宋体"/>
      <w:sz w:val="18"/>
      <w:szCs w:val="18"/>
    </w:rPr>
  </w:style>
  <w:style w:type="paragraph" w:styleId="CommentText">
    <w:name w:val="annotation text"/>
    <w:basedOn w:val="Normal"/>
    <w:link w:val="CommentTextChar"/>
    <w:pPr>
      <w:widowControl/>
      <w:jc w:val="left"/>
    </w:pPr>
    <w:rPr>
      <w:rFonts w:cs="Times New Roman"/>
      <w:kern w:val="0"/>
      <w:sz w:val="22"/>
    </w:rPr>
  </w:style>
  <w:style w:type="paragraph" w:styleId="TOC5">
    <w:name w:val="toc 5"/>
    <w:basedOn w:val="Normal"/>
    <w:next w:val="Normal"/>
    <w:uiPriority w:val="39"/>
    <w:unhideWhenUsed/>
    <w:pPr>
      <w:ind w:leftChars="800" w:left="1680"/>
    </w:pPr>
  </w:style>
  <w:style w:type="paragraph" w:styleId="TOC3">
    <w:name w:val="toc 3"/>
    <w:basedOn w:val="Normal"/>
    <w:next w:val="Normal"/>
    <w:uiPriority w:val="39"/>
    <w:unhideWhenUsed/>
    <w:pPr>
      <w:ind w:leftChars="400" w:left="840"/>
    </w:pPr>
  </w:style>
  <w:style w:type="paragraph" w:styleId="TOC8">
    <w:name w:val="toc 8"/>
    <w:basedOn w:val="Normal"/>
    <w:next w:val="Normal"/>
    <w:uiPriority w:val="39"/>
    <w:unhideWhenUsed/>
    <w:pPr>
      <w:ind w:leftChars="1400" w:left="2940"/>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style>
  <w:style w:type="paragraph" w:styleId="TOC4">
    <w:name w:val="toc 4"/>
    <w:basedOn w:val="Normal"/>
    <w:next w:val="Normal"/>
    <w:uiPriority w:val="39"/>
    <w:unhideWhenUsed/>
    <w:pPr>
      <w:ind w:leftChars="600" w:left="1260"/>
    </w:pPr>
  </w:style>
  <w:style w:type="paragraph" w:styleId="FootnoteText">
    <w:name w:val="footnote text"/>
    <w:basedOn w:val="Normal"/>
    <w:link w:val="FootnoteTextChar"/>
    <w:pPr>
      <w:widowControl/>
      <w:jc w:val="left"/>
    </w:pPr>
    <w:rPr>
      <w:sz w:val="20"/>
    </w:rPr>
  </w:style>
  <w:style w:type="paragraph" w:styleId="TOC6">
    <w:name w:val="toc 6"/>
    <w:basedOn w:val="Normal"/>
    <w:next w:val="Normal"/>
    <w:uiPriority w:val="39"/>
    <w:unhideWhenUsed/>
    <w:pPr>
      <w:ind w:leftChars="1000" w:left="2100"/>
    </w:pPr>
  </w:style>
  <w:style w:type="paragraph" w:styleId="TOC2">
    <w:name w:val="toc 2"/>
    <w:basedOn w:val="Normal"/>
    <w:next w:val="Normal"/>
    <w:uiPriority w:val="39"/>
    <w:unhideWhenUsed/>
    <w:pPr>
      <w:ind w:leftChars="200" w:left="420"/>
    </w:pPr>
  </w:style>
  <w:style w:type="paragraph" w:styleId="TOC9">
    <w:name w:val="toc 9"/>
    <w:basedOn w:val="Normal"/>
    <w:next w:val="Normal"/>
    <w:uiPriority w:val="39"/>
    <w:unhideWhenUsed/>
    <w:pPr>
      <w:ind w:leftChars="1600" w:left="3360"/>
    </w:pPr>
  </w:style>
  <w:style w:type="paragraph" w:styleId="NormalWeb">
    <w:name w:val="Normal (Web)"/>
    <w:basedOn w:val="Normal"/>
    <w:uiPriority w:val="99"/>
    <w:unhideWhenUse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unhideWhenUsed/>
    <w:rPr>
      <w:color w:val="0000FF"/>
      <w:u w:val="single"/>
    </w:rPr>
  </w:style>
  <w:style w:type="character" w:styleId="CommentReference">
    <w:name w:val="annotation reference"/>
    <w:rPr>
      <w:sz w:val="21"/>
      <w:szCs w:val="21"/>
    </w:rPr>
  </w:style>
  <w:style w:type="character" w:styleId="FootnoteReference">
    <w:name w:val="footnote reference"/>
    <w:rPr>
      <w:rFonts w:cs="Times New Roman"/>
      <w:vertAlign w:val="superscript"/>
    </w:rPr>
  </w:style>
  <w:style w:type="table" w:styleId="TableGrid">
    <w:name w:val="Table Grid"/>
    <w:basedOn w:val="TableNormal"/>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al"/>
    <w:uiPriority w:val="99"/>
    <w:rPr>
      <w:rFonts w:cs="Times New Roman"/>
    </w:rPr>
  </w:style>
  <w:style w:type="paragraph" w:customStyle="1" w:styleId="ListParagraph1">
    <w:name w:val="List Paragraph1"/>
    <w:basedOn w:val="Normal"/>
    <w:uiPriority w:val="34"/>
    <w:qFormat/>
    <w:pPr>
      <w:ind w:firstLineChars="200" w:firstLine="420"/>
    </w:pPr>
  </w:style>
  <w:style w:type="paragraph" w:customStyle="1" w:styleId="Char">
    <w:name w:val="Char"/>
    <w:basedOn w:val="Normal"/>
    <w:rPr>
      <w:rFonts w:cs="Times New Roman"/>
      <w:szCs w:val="24"/>
    </w:rPr>
  </w:style>
  <w:style w:type="paragraph" w:customStyle="1" w:styleId="TOCHeading1">
    <w:name w:val="TOC Heading1"/>
    <w:basedOn w:val="Heading1"/>
    <w:next w:val="Normal"/>
    <w:uiPriority w:val="39"/>
    <w:unhideWhenUsed/>
    <w:qFormat/>
    <w:pPr>
      <w:outlineLvl w:val="9"/>
    </w:pPr>
    <w:rPr>
      <w:rFonts w:eastAsia="宋体" w:cs="黑体"/>
      <w:bCs/>
      <w:color w:val="365F90"/>
      <w:szCs w:val="28"/>
      <w:lang w:eastAsia="ja-JP"/>
    </w:rPr>
  </w:style>
  <w:style w:type="paragraph" w:customStyle="1" w:styleId="CharChar2CharChar1">
    <w:name w:val="Char Char2 Char Char1"/>
    <w:basedOn w:val="Normal"/>
    <w:rPr>
      <w:rFonts w:cs="Times New Roman"/>
      <w:szCs w:val="20"/>
    </w:rPr>
  </w:style>
  <w:style w:type="paragraph" w:customStyle="1" w:styleId="Style26">
    <w:name w:val="_Style 26"/>
    <w:basedOn w:val="Normal"/>
    <w:uiPriority w:val="34"/>
    <w:qFormat/>
    <w:pPr>
      <w:ind w:firstLineChars="200" w:firstLine="420"/>
    </w:pPr>
  </w:style>
  <w:style w:type="character" w:customStyle="1" w:styleId="HeaderChar">
    <w:name w:val="Header Char"/>
    <w:basedOn w:val="DefaultParagraphFont"/>
    <w:link w:val="Header"/>
    <w:uiPriority w:val="99"/>
    <w:semiHidden/>
    <w:rPr>
      <w:sz w:val="18"/>
      <w:szCs w:val="18"/>
    </w:rPr>
  </w:style>
  <w:style w:type="character" w:customStyle="1" w:styleId="FooterChar">
    <w:name w:val="Footer Char"/>
    <w:basedOn w:val="DefaultParagraphFont"/>
    <w:link w:val="Footer"/>
    <w:uiPriority w:val="99"/>
    <w:rPr>
      <w:sz w:val="18"/>
      <w:szCs w:val="18"/>
    </w:rPr>
  </w:style>
  <w:style w:type="character" w:customStyle="1" w:styleId="1Char">
    <w:name w:val="标题 1 Char"/>
    <w:basedOn w:val="DefaultParagraphFont"/>
    <w:rPr>
      <w:rFonts w:ascii="Cambria" w:eastAsia="Times New Roman" w:hAnsi="Cambria" w:cs="Times New Roman"/>
      <w:b/>
      <w:color w:val="365F91"/>
      <w:kern w:val="0"/>
      <w:sz w:val="28"/>
      <w:szCs w:val="20"/>
    </w:rPr>
  </w:style>
  <w:style w:type="character" w:customStyle="1" w:styleId="FootnoteTextChar">
    <w:name w:val="Footnote Text Char"/>
    <w:link w:val="FootnoteText"/>
    <w:rPr>
      <w:sz w:val="20"/>
    </w:rPr>
  </w:style>
  <w:style w:type="character" w:customStyle="1" w:styleId="Char1">
    <w:name w:val="脚注文本 Char1"/>
    <w:basedOn w:val="DefaultParagraphFont"/>
    <w:uiPriority w:val="99"/>
    <w:semiHidden/>
    <w:rPr>
      <w:sz w:val="18"/>
      <w:szCs w:val="18"/>
    </w:rPr>
  </w:style>
  <w:style w:type="character" w:customStyle="1" w:styleId="CommentTextChar">
    <w:name w:val="Comment Text Char"/>
    <w:basedOn w:val="DefaultParagraphFont"/>
    <w:link w:val="CommentText"/>
    <w:rPr>
      <w:rFonts w:ascii="Calibri" w:eastAsia="宋体" w:hAnsi="Calibri" w:cs="Times New Roman"/>
      <w:kern w:val="0"/>
      <w:sz w:val="22"/>
    </w:rPr>
  </w:style>
  <w:style w:type="character" w:customStyle="1" w:styleId="BalloonTextChar">
    <w:name w:val="Balloon Text Char"/>
    <w:basedOn w:val="DefaultParagraphFont"/>
    <w:link w:val="BalloonText"/>
    <w:uiPriority w:val="99"/>
    <w:semiHidden/>
    <w:rPr>
      <w:sz w:val="18"/>
      <w:szCs w:val="18"/>
    </w:rPr>
  </w:style>
  <w:style w:type="character" w:customStyle="1" w:styleId="Heading2Char">
    <w:name w:val="Heading 2 Char"/>
    <w:basedOn w:val="DefaultParagraphFont"/>
    <w:link w:val="Heading2"/>
    <w:uiPriority w:val="9"/>
    <w:rsid w:val="00BA68AB"/>
    <w:rPr>
      <w:rFonts w:ascii="Cambria" w:eastAsia="黑体" w:hAnsi="Cambria" w:cs="黑体"/>
      <w:bCs/>
      <w:color w:val="000000" w:themeColor="text1"/>
      <w:kern w:val="2"/>
      <w:sz w:val="36"/>
      <w:szCs w:val="32"/>
    </w:rPr>
  </w:style>
  <w:style w:type="character" w:customStyle="1" w:styleId="Heading3Char">
    <w:name w:val="Heading 3 Char"/>
    <w:basedOn w:val="DefaultParagraphFont"/>
    <w:link w:val="Heading3"/>
    <w:uiPriority w:val="9"/>
    <w:rsid w:val="00913FA3"/>
    <w:rPr>
      <w:rFonts w:eastAsia="黑体" w:cs="黑体"/>
      <w:bCs/>
      <w:color w:val="000000" w:themeColor="text1"/>
      <w:kern w:val="2"/>
      <w:sz w:val="32"/>
      <w:szCs w:val="32"/>
    </w:rPr>
  </w:style>
  <w:style w:type="character" w:customStyle="1" w:styleId="Heading4Char">
    <w:name w:val="Heading 4 Char"/>
    <w:basedOn w:val="DefaultParagraphFont"/>
    <w:link w:val="Heading4"/>
    <w:uiPriority w:val="9"/>
    <w:semiHidden/>
    <w:rPr>
      <w:rFonts w:ascii="Cambria" w:eastAsia="宋体" w:hAnsi="Cambria" w:cs="黑体"/>
      <w:b/>
      <w:bCs/>
      <w:sz w:val="28"/>
      <w:szCs w:val="28"/>
    </w:rPr>
  </w:style>
  <w:style w:type="character" w:customStyle="1" w:styleId="DocumentMapChar">
    <w:name w:val="Document Map Char"/>
    <w:basedOn w:val="DefaultParagraphFont"/>
    <w:link w:val="DocumentMap"/>
    <w:uiPriority w:val="99"/>
    <w:semiHidden/>
    <w:rPr>
      <w:rFonts w:ascii="宋体" w:eastAsia="宋体"/>
      <w:sz w:val="18"/>
      <w:szCs w:val="18"/>
    </w:rPr>
  </w:style>
  <w:style w:type="character" w:customStyle="1" w:styleId="font01">
    <w:name w:val="font01"/>
    <w:basedOn w:val="DefaultParagraphFont"/>
    <w:rPr>
      <w:rFonts w:ascii="宋体" w:eastAsia="宋体" w:hAnsi="宋体" w:cs="宋体" w:hint="eastAsia"/>
      <w:color w:val="000000"/>
      <w:sz w:val="24"/>
      <w:szCs w:val="24"/>
      <w:u w:val="none"/>
    </w:rPr>
  </w:style>
  <w:style w:type="character" w:customStyle="1" w:styleId="apple-style-span">
    <w:name w:val="apple-style-span"/>
    <w:basedOn w:val="DefaultParagraphFont"/>
  </w:style>
  <w:style w:type="character" w:customStyle="1" w:styleId="Heading1Char">
    <w:name w:val="Heading 1 Char"/>
    <w:link w:val="Heading1"/>
    <w:rPr>
      <w:rFonts w:ascii="Cambria" w:eastAsia="宋体" w:hAnsi="Cambria" w:hint="default"/>
      <w:b/>
      <w:kern w:val="32"/>
      <w:sz w:val="32"/>
    </w:rPr>
  </w:style>
  <w:style w:type="paragraph" w:styleId="CommentSubject">
    <w:name w:val="annotation subject"/>
    <w:basedOn w:val="CommentText"/>
    <w:next w:val="CommentText"/>
    <w:link w:val="CommentSubjectChar"/>
    <w:semiHidden/>
    <w:unhideWhenUsed/>
    <w:rsid w:val="00550B8E"/>
    <w:pPr>
      <w:widowControl w:val="0"/>
      <w:jc w:val="both"/>
    </w:pPr>
    <w:rPr>
      <w:rFonts w:cs="黑体"/>
      <w:b/>
      <w:bCs/>
      <w:kern w:val="2"/>
      <w:sz w:val="20"/>
      <w:szCs w:val="20"/>
    </w:rPr>
  </w:style>
  <w:style w:type="character" w:customStyle="1" w:styleId="CommentSubjectChar">
    <w:name w:val="Comment Subject Char"/>
    <w:basedOn w:val="CommentTextChar"/>
    <w:link w:val="CommentSubject"/>
    <w:semiHidden/>
    <w:rsid w:val="00550B8E"/>
    <w:rPr>
      <w:rFonts w:ascii="Calibri" w:eastAsia="宋体" w:hAnsi="Calibri" w:cs="黑体"/>
      <w:b/>
      <w:bCs/>
      <w:kern w:val="2"/>
      <w:sz w:val="22"/>
    </w:rPr>
  </w:style>
  <w:style w:type="paragraph" w:styleId="ListParagraph">
    <w:name w:val="List Paragraph"/>
    <w:basedOn w:val="Normal"/>
    <w:uiPriority w:val="34"/>
    <w:qFormat/>
    <w:rsid w:val="00550B8E"/>
    <w:pPr>
      <w:widowControl/>
      <w:ind w:left="720"/>
    </w:pPr>
    <w:rPr>
      <w:rFonts w:cs="宋体"/>
      <w:kern w:val="0"/>
      <w:szCs w:val="21"/>
    </w:rPr>
  </w:style>
  <w:style w:type="paragraph" w:styleId="Revision">
    <w:name w:val="Revision"/>
    <w:hidden/>
    <w:uiPriority w:val="99"/>
    <w:unhideWhenUsed/>
    <w:rsid w:val="00D52858"/>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232">
      <w:bodyDiv w:val="1"/>
      <w:marLeft w:val="0"/>
      <w:marRight w:val="0"/>
      <w:marTop w:val="0"/>
      <w:marBottom w:val="0"/>
      <w:divBdr>
        <w:top w:val="none" w:sz="0" w:space="0" w:color="auto"/>
        <w:left w:val="none" w:sz="0" w:space="0" w:color="auto"/>
        <w:bottom w:val="none" w:sz="0" w:space="0" w:color="auto"/>
        <w:right w:val="none" w:sz="0" w:space="0" w:color="auto"/>
      </w:divBdr>
    </w:div>
    <w:div w:id="1181121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5A51E-5D59-4DB7-B981-42F68181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关于构建我国绿色金融体系的建议</vt:lpstr>
    </vt:vector>
  </TitlesOfParts>
  <Company>Microsoft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关于构建我国绿色金融体系的建议</dc:title>
  <dc:creator>bin</dc:creator>
  <cp:lastModifiedBy>Shouqing Zhu</cp:lastModifiedBy>
  <cp:revision>6</cp:revision>
  <cp:lastPrinted>2015-01-28T21:12:00Z</cp:lastPrinted>
  <dcterms:created xsi:type="dcterms:W3CDTF">2015-03-16T06:10:00Z</dcterms:created>
  <dcterms:modified xsi:type="dcterms:W3CDTF">2015-03-16T06:17:00Z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